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21"/>
        <w:gridCol w:w="3185"/>
        <w:gridCol w:w="3477"/>
        <w:gridCol w:w="5103"/>
        <w:gridCol w:w="1984"/>
      </w:tblGrid>
      <w:tr w:rsidR="00400D45" w:rsidRPr="00E56F7A" w14:paraId="08CF9984" w14:textId="77777777" w:rsidTr="000E1031">
        <w:trPr>
          <w:trHeight w:val="537"/>
        </w:trPr>
        <w:tc>
          <w:tcPr>
            <w:tcW w:w="421" w:type="dxa"/>
          </w:tcPr>
          <w:p w14:paraId="7588CF60" w14:textId="77777777" w:rsidR="00400D45" w:rsidRPr="00E56F7A" w:rsidRDefault="00400D45" w:rsidP="00CD29FF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</w:tcPr>
          <w:p w14:paraId="1C887A82" w14:textId="0C609C14" w:rsidR="00400D45" w:rsidRPr="007B140C" w:rsidRDefault="0079610E" w:rsidP="00CD29FF">
            <w:pPr>
              <w:rPr>
                <w:rFonts w:ascii="Arial" w:hAnsi="Arial" w:cs="Arial"/>
                <w:b/>
                <w:bCs/>
              </w:rPr>
            </w:pPr>
            <w:r w:rsidRPr="007B140C">
              <w:rPr>
                <w:rFonts w:ascii="Arial" w:hAnsi="Arial" w:cs="Arial"/>
                <w:b/>
                <w:bCs/>
              </w:rPr>
              <w:t>Possible hazards</w:t>
            </w:r>
          </w:p>
        </w:tc>
        <w:tc>
          <w:tcPr>
            <w:tcW w:w="3477" w:type="dxa"/>
          </w:tcPr>
          <w:p w14:paraId="3AD07E9B" w14:textId="43271711" w:rsidR="00400D45" w:rsidRPr="007B140C" w:rsidRDefault="0079610E" w:rsidP="00CD29FF">
            <w:pPr>
              <w:rPr>
                <w:rFonts w:ascii="Arial" w:hAnsi="Arial" w:cs="Arial"/>
                <w:b/>
                <w:bCs/>
              </w:rPr>
            </w:pPr>
            <w:r w:rsidRPr="007B140C">
              <w:rPr>
                <w:rFonts w:ascii="Arial" w:hAnsi="Arial" w:cs="Arial"/>
                <w:b/>
                <w:bCs/>
              </w:rPr>
              <w:t>Who/how might be harmed</w:t>
            </w:r>
          </w:p>
        </w:tc>
        <w:tc>
          <w:tcPr>
            <w:tcW w:w="5103" w:type="dxa"/>
          </w:tcPr>
          <w:p w14:paraId="6B95CEAE" w14:textId="6BFD5ECF" w:rsidR="00400D45" w:rsidRPr="007B140C" w:rsidRDefault="0079610E" w:rsidP="00CD29FF">
            <w:pPr>
              <w:rPr>
                <w:rFonts w:ascii="Arial" w:hAnsi="Arial" w:cs="Arial"/>
                <w:b/>
                <w:bCs/>
              </w:rPr>
            </w:pPr>
            <w:r w:rsidRPr="007B140C">
              <w:rPr>
                <w:rFonts w:ascii="Arial" w:hAnsi="Arial" w:cs="Arial"/>
                <w:b/>
                <w:bCs/>
              </w:rPr>
              <w:t>Ways to control the risk</w:t>
            </w:r>
          </w:p>
        </w:tc>
        <w:tc>
          <w:tcPr>
            <w:tcW w:w="1984" w:type="dxa"/>
          </w:tcPr>
          <w:p w14:paraId="6D26E943" w14:textId="77777777" w:rsidR="00400D45" w:rsidRPr="00E56F7A" w:rsidRDefault="00400D45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2C84B251" w14:textId="77777777" w:rsidTr="000E1031">
        <w:trPr>
          <w:trHeight w:val="540"/>
        </w:trPr>
        <w:tc>
          <w:tcPr>
            <w:tcW w:w="421" w:type="dxa"/>
            <w:vMerge w:val="restart"/>
          </w:tcPr>
          <w:p w14:paraId="1F411F44" w14:textId="512AA91E" w:rsidR="0079610E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5" w:type="dxa"/>
            <w:vMerge w:val="restart"/>
          </w:tcPr>
          <w:p w14:paraId="260885AA" w14:textId="3BD67BF5" w:rsidR="0079610E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Severe weather conditions </w:t>
            </w:r>
            <w:r w:rsidR="000C363A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extremes of temperature, wind, heavy rain </w:t>
            </w:r>
          </w:p>
          <w:p w14:paraId="6D17DA7C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  <w:p w14:paraId="20594407" w14:textId="1107A37E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Merge w:val="restart"/>
          </w:tcPr>
          <w:p w14:paraId="1B938F98" w14:textId="481B3059" w:rsidR="0079610E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risk of illness or injury</w:t>
            </w:r>
          </w:p>
        </w:tc>
        <w:tc>
          <w:tcPr>
            <w:tcW w:w="5103" w:type="dxa"/>
          </w:tcPr>
          <w:p w14:paraId="06F885E6" w14:textId="6A1C8B94" w:rsidR="0079610E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 leader to check the weather </w:t>
            </w:r>
            <w:r w:rsidR="00BB54A6">
              <w:rPr>
                <w:rFonts w:ascii="Arial" w:hAnsi="Arial" w:cs="Arial"/>
              </w:rPr>
              <w:t>forecast and cancel the walk if necessary.</w:t>
            </w:r>
          </w:p>
        </w:tc>
        <w:tc>
          <w:tcPr>
            <w:tcW w:w="1984" w:type="dxa"/>
            <w:vMerge w:val="restart"/>
          </w:tcPr>
          <w:p w14:paraId="07358D91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020D9AA7" w14:textId="77777777" w:rsidTr="000E1031">
        <w:trPr>
          <w:trHeight w:val="525"/>
        </w:trPr>
        <w:tc>
          <w:tcPr>
            <w:tcW w:w="421" w:type="dxa"/>
            <w:vMerge/>
          </w:tcPr>
          <w:p w14:paraId="2AF99B2D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</w:tcPr>
          <w:p w14:paraId="44C2CCA9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Merge/>
          </w:tcPr>
          <w:p w14:paraId="00325BE5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6FC1445" w14:textId="5258E810" w:rsidR="0079610E" w:rsidRPr="00E56F7A" w:rsidRDefault="00BB54A6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should bring suitable clothing, equipment and refreshment for the conditions.</w:t>
            </w:r>
          </w:p>
        </w:tc>
        <w:tc>
          <w:tcPr>
            <w:tcW w:w="1984" w:type="dxa"/>
            <w:vMerge/>
          </w:tcPr>
          <w:p w14:paraId="2FA257C3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400D45" w:rsidRPr="00E56F7A" w14:paraId="61868279" w14:textId="77777777" w:rsidTr="000E1031">
        <w:trPr>
          <w:trHeight w:val="537"/>
        </w:trPr>
        <w:tc>
          <w:tcPr>
            <w:tcW w:w="421" w:type="dxa"/>
          </w:tcPr>
          <w:p w14:paraId="79B9A191" w14:textId="6CA6C0A8" w:rsidR="00400D45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5" w:type="dxa"/>
          </w:tcPr>
          <w:p w14:paraId="61783734" w14:textId="6A1D9D5B" w:rsidR="00400D45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Steep, slippery or muddy conditions </w:t>
            </w:r>
          </w:p>
        </w:tc>
        <w:tc>
          <w:tcPr>
            <w:tcW w:w="3477" w:type="dxa"/>
          </w:tcPr>
          <w:p w14:paraId="5BEAA5B9" w14:textId="294C1E7F" w:rsidR="00400D45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risk of slips trips or falls</w:t>
            </w:r>
          </w:p>
        </w:tc>
        <w:tc>
          <w:tcPr>
            <w:tcW w:w="5103" w:type="dxa"/>
          </w:tcPr>
          <w:p w14:paraId="53E49042" w14:textId="4977D15F" w:rsidR="00400D45" w:rsidRPr="00E56F7A" w:rsidRDefault="00BB54A6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</w:t>
            </w:r>
            <w:r w:rsidR="005B3EC3">
              <w:rPr>
                <w:rFonts w:ascii="Arial" w:hAnsi="Arial" w:cs="Arial"/>
              </w:rPr>
              <w:t xml:space="preserve"> to wear suitable footwear and warn </w:t>
            </w:r>
            <w:r w:rsidR="004F586A">
              <w:rPr>
                <w:rFonts w:ascii="Arial" w:hAnsi="Arial" w:cs="Arial"/>
              </w:rPr>
              <w:t xml:space="preserve">other walkers if when they notice difficult conditions. </w:t>
            </w:r>
          </w:p>
        </w:tc>
        <w:tc>
          <w:tcPr>
            <w:tcW w:w="1984" w:type="dxa"/>
          </w:tcPr>
          <w:p w14:paraId="027F1CF5" w14:textId="77777777" w:rsidR="00400D45" w:rsidRPr="00E56F7A" w:rsidRDefault="00400D45" w:rsidP="00CD29FF">
            <w:pPr>
              <w:rPr>
                <w:rFonts w:ascii="Arial" w:hAnsi="Arial" w:cs="Arial"/>
              </w:rPr>
            </w:pPr>
          </w:p>
        </w:tc>
      </w:tr>
      <w:tr w:rsidR="00400D45" w:rsidRPr="00E56F7A" w14:paraId="072FF24F" w14:textId="77777777" w:rsidTr="000E1031">
        <w:trPr>
          <w:trHeight w:val="537"/>
        </w:trPr>
        <w:tc>
          <w:tcPr>
            <w:tcW w:w="421" w:type="dxa"/>
          </w:tcPr>
          <w:p w14:paraId="004840E4" w14:textId="5439E84A" w:rsidR="00400D45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5" w:type="dxa"/>
          </w:tcPr>
          <w:p w14:paraId="6EEE28A4" w14:textId="4847446F" w:rsidR="00400D45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Tree roots, other obstacles, uneven surfaces, stiles, gates etc. </w:t>
            </w:r>
          </w:p>
        </w:tc>
        <w:tc>
          <w:tcPr>
            <w:tcW w:w="3477" w:type="dxa"/>
          </w:tcPr>
          <w:p w14:paraId="419A162A" w14:textId="3DC35F3E" w:rsidR="00400D45" w:rsidRPr="00E56F7A" w:rsidRDefault="00BB54A6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risk of slips trips or falls</w:t>
            </w:r>
          </w:p>
        </w:tc>
        <w:tc>
          <w:tcPr>
            <w:tcW w:w="5103" w:type="dxa"/>
          </w:tcPr>
          <w:p w14:paraId="4F51116A" w14:textId="29B8FB03" w:rsidR="00400D45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walkers to be alert and warn others of potential hazards. </w:t>
            </w:r>
          </w:p>
        </w:tc>
        <w:tc>
          <w:tcPr>
            <w:tcW w:w="1984" w:type="dxa"/>
          </w:tcPr>
          <w:p w14:paraId="7415E646" w14:textId="77777777" w:rsidR="00400D45" w:rsidRPr="00E56F7A" w:rsidRDefault="00400D45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532259C4" w14:textId="77777777" w:rsidTr="000E1031">
        <w:trPr>
          <w:trHeight w:val="519"/>
        </w:trPr>
        <w:tc>
          <w:tcPr>
            <w:tcW w:w="421" w:type="dxa"/>
            <w:vMerge w:val="restart"/>
          </w:tcPr>
          <w:p w14:paraId="556F834F" w14:textId="29B37A48" w:rsidR="0079610E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85" w:type="dxa"/>
            <w:vMerge w:val="restart"/>
          </w:tcPr>
          <w:p w14:paraId="62C24F3F" w14:textId="397DA3A1" w:rsidR="0079610E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 – R.T.A.</w:t>
            </w:r>
          </w:p>
          <w:p w14:paraId="34DDCF2D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  <w:p w14:paraId="0FFBD3C2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  <w:p w14:paraId="320D59E6" w14:textId="3C61D381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Merge w:val="restart"/>
          </w:tcPr>
          <w:p w14:paraId="453E8B1F" w14:textId="4B7DB722" w:rsidR="0079610E" w:rsidRPr="00E56F7A" w:rsidRDefault="00957773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risk of collision with traffic</w:t>
            </w:r>
          </w:p>
        </w:tc>
        <w:tc>
          <w:tcPr>
            <w:tcW w:w="5103" w:type="dxa"/>
          </w:tcPr>
          <w:p w14:paraId="0B6BF171" w14:textId="7ADF8324" w:rsidR="0079610E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leader where possible to avoid routes along busy roads and check for suitable crossing places pre walk.</w:t>
            </w:r>
          </w:p>
        </w:tc>
        <w:tc>
          <w:tcPr>
            <w:tcW w:w="1984" w:type="dxa"/>
            <w:vMerge w:val="restart"/>
          </w:tcPr>
          <w:p w14:paraId="471A32F9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1CBFE19A" w14:textId="77777777" w:rsidTr="000E1031">
        <w:trPr>
          <w:trHeight w:val="540"/>
        </w:trPr>
        <w:tc>
          <w:tcPr>
            <w:tcW w:w="421" w:type="dxa"/>
            <w:vMerge/>
          </w:tcPr>
          <w:p w14:paraId="46436073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</w:tcPr>
          <w:p w14:paraId="21D8019B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Merge/>
          </w:tcPr>
          <w:p w14:paraId="76C26B60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B9E3A70" w14:textId="0A7CF60C" w:rsidR="0079610E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Walkers to walk single file, face oncoming traffic and walk on the verge if suitable. </w:t>
            </w:r>
          </w:p>
        </w:tc>
        <w:tc>
          <w:tcPr>
            <w:tcW w:w="1984" w:type="dxa"/>
            <w:vMerge/>
          </w:tcPr>
          <w:p w14:paraId="20349835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2311CEF2" w14:textId="77777777" w:rsidTr="000E1031">
        <w:trPr>
          <w:trHeight w:val="648"/>
        </w:trPr>
        <w:tc>
          <w:tcPr>
            <w:tcW w:w="421" w:type="dxa"/>
            <w:vMerge w:val="restart"/>
          </w:tcPr>
          <w:p w14:paraId="67DA8FD7" w14:textId="6566EA9B" w:rsidR="0079610E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85" w:type="dxa"/>
            <w:vMerge w:val="restart"/>
          </w:tcPr>
          <w:p w14:paraId="46CD0A90" w14:textId="35373E79" w:rsidR="0079610E" w:rsidRPr="00E56F7A" w:rsidRDefault="00BB54A6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Farming, livestock and other animals </w:t>
            </w:r>
          </w:p>
        </w:tc>
        <w:tc>
          <w:tcPr>
            <w:tcW w:w="3477" w:type="dxa"/>
          </w:tcPr>
          <w:p w14:paraId="431B1FE3" w14:textId="4E4B0EDE" w:rsidR="0079610E" w:rsidRPr="00E56F7A" w:rsidRDefault="00BB54A6" w:rsidP="007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risk of injury and accident</w:t>
            </w:r>
          </w:p>
        </w:tc>
        <w:tc>
          <w:tcPr>
            <w:tcW w:w="5103" w:type="dxa"/>
            <w:vMerge w:val="restart"/>
          </w:tcPr>
          <w:p w14:paraId="02A31EAF" w14:textId="5E916AA4" w:rsidR="0079610E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fields of livestock calmly. Be prepared to divert if necessary</w:t>
            </w:r>
            <w:r w:rsidR="000E10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Walkers must not bring dogs on the walk. Follow the Country Code. Leave gates and property as you find them,</w:t>
            </w:r>
          </w:p>
        </w:tc>
        <w:tc>
          <w:tcPr>
            <w:tcW w:w="1984" w:type="dxa"/>
            <w:vMerge w:val="restart"/>
          </w:tcPr>
          <w:p w14:paraId="46DCE389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12D741D7" w14:textId="77777777" w:rsidTr="000E1031">
        <w:trPr>
          <w:trHeight w:val="607"/>
        </w:trPr>
        <w:tc>
          <w:tcPr>
            <w:tcW w:w="421" w:type="dxa"/>
            <w:vMerge/>
          </w:tcPr>
          <w:p w14:paraId="2E73C62D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</w:tcPr>
          <w:p w14:paraId="2A866598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00F4495F" w14:textId="09165F2B" w:rsidR="0079610E" w:rsidRPr="00E56F7A" w:rsidRDefault="00BB54A6" w:rsidP="007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– risk of damage if livestock escape</w:t>
            </w:r>
          </w:p>
        </w:tc>
        <w:tc>
          <w:tcPr>
            <w:tcW w:w="5103" w:type="dxa"/>
            <w:vMerge/>
          </w:tcPr>
          <w:p w14:paraId="36AF6A20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02871257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79610E" w:rsidRPr="00E56F7A" w14:paraId="5D9B6555" w14:textId="77777777" w:rsidTr="000E1031">
        <w:trPr>
          <w:trHeight w:val="294"/>
        </w:trPr>
        <w:tc>
          <w:tcPr>
            <w:tcW w:w="421" w:type="dxa"/>
            <w:vMerge/>
          </w:tcPr>
          <w:p w14:paraId="6EE5853E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185" w:type="dxa"/>
            <w:vMerge/>
          </w:tcPr>
          <w:p w14:paraId="76358BD7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1DCE7A66" w14:textId="23323F95" w:rsidR="0079610E" w:rsidRPr="00E56F7A" w:rsidRDefault="00BB54A6" w:rsidP="0079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bites, ticks and stings</w:t>
            </w:r>
          </w:p>
          <w:p w14:paraId="7F42B2A9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CCCEB77" w14:textId="02256592" w:rsidR="0079610E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should be made aware of the risks.</w:t>
            </w:r>
          </w:p>
        </w:tc>
        <w:tc>
          <w:tcPr>
            <w:tcW w:w="1984" w:type="dxa"/>
            <w:vMerge/>
          </w:tcPr>
          <w:p w14:paraId="1C7207A1" w14:textId="77777777" w:rsidR="0079610E" w:rsidRPr="00E56F7A" w:rsidRDefault="0079610E" w:rsidP="00CD29FF">
            <w:pPr>
              <w:rPr>
                <w:rFonts w:ascii="Arial" w:hAnsi="Arial" w:cs="Arial"/>
              </w:rPr>
            </w:pPr>
          </w:p>
        </w:tc>
      </w:tr>
      <w:tr w:rsidR="00400D45" w:rsidRPr="00E56F7A" w14:paraId="4215A809" w14:textId="77777777" w:rsidTr="000E1031">
        <w:trPr>
          <w:trHeight w:val="537"/>
        </w:trPr>
        <w:tc>
          <w:tcPr>
            <w:tcW w:w="421" w:type="dxa"/>
          </w:tcPr>
          <w:p w14:paraId="7D3CF207" w14:textId="38431CF8" w:rsidR="00400D45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85" w:type="dxa"/>
          </w:tcPr>
          <w:p w14:paraId="261DE7C3" w14:textId="4C536F1B" w:rsidR="00400D45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Navigation error</w:t>
            </w:r>
          </w:p>
        </w:tc>
        <w:tc>
          <w:tcPr>
            <w:tcW w:w="3477" w:type="dxa"/>
          </w:tcPr>
          <w:p w14:paraId="6450E8FF" w14:textId="0005E3EA" w:rsidR="00400D45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Walkers – getting lost </w:t>
            </w:r>
            <w:r w:rsidR="00376A3B">
              <w:rPr>
                <w:rFonts w:ascii="Arial" w:hAnsi="Arial" w:cs="Arial"/>
              </w:rPr>
              <w:t>individually or as a group.</w:t>
            </w:r>
          </w:p>
        </w:tc>
        <w:tc>
          <w:tcPr>
            <w:tcW w:w="5103" w:type="dxa"/>
          </w:tcPr>
          <w:p w14:paraId="0F077194" w14:textId="6D267CC8" w:rsidR="00400D45" w:rsidRPr="00E56F7A" w:rsidRDefault="00376A3B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Walk leader to do a head count of walkers at the start. Nominate a back marker and both to monitor numbers and progress during the walk to prevent the group getting </w:t>
            </w:r>
            <w:r w:rsidR="000C363A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spread out.</w:t>
            </w:r>
          </w:p>
        </w:tc>
        <w:tc>
          <w:tcPr>
            <w:tcW w:w="1984" w:type="dxa"/>
          </w:tcPr>
          <w:p w14:paraId="2B9D06AB" w14:textId="77777777" w:rsidR="00400D45" w:rsidRPr="00E56F7A" w:rsidRDefault="00400D45" w:rsidP="00CD29FF">
            <w:pPr>
              <w:rPr>
                <w:rFonts w:ascii="Arial" w:hAnsi="Arial" w:cs="Arial"/>
              </w:rPr>
            </w:pPr>
          </w:p>
        </w:tc>
      </w:tr>
      <w:tr w:rsidR="00400D45" w:rsidRPr="00E56F7A" w14:paraId="7E4B0F6C" w14:textId="77777777" w:rsidTr="000E1031">
        <w:trPr>
          <w:trHeight w:val="699"/>
        </w:trPr>
        <w:tc>
          <w:tcPr>
            <w:tcW w:w="421" w:type="dxa"/>
          </w:tcPr>
          <w:p w14:paraId="53DC39E9" w14:textId="01BB15B6" w:rsidR="00400D45" w:rsidRPr="00E56F7A" w:rsidRDefault="00240D1D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85" w:type="dxa"/>
          </w:tcPr>
          <w:p w14:paraId="42A674EA" w14:textId="63EF2A55" w:rsidR="00400D45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becoming isolated or leaving the group</w:t>
            </w:r>
          </w:p>
        </w:tc>
        <w:tc>
          <w:tcPr>
            <w:tcW w:w="3477" w:type="dxa"/>
          </w:tcPr>
          <w:p w14:paraId="06E0039D" w14:textId="252F32EC" w:rsidR="00400D45" w:rsidRPr="00E56F7A" w:rsidRDefault="004F586A" w:rsidP="00CD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Walkers – getting lost, dehydration, hypothermia etc.</w:t>
            </w:r>
          </w:p>
        </w:tc>
        <w:tc>
          <w:tcPr>
            <w:tcW w:w="5103" w:type="dxa"/>
          </w:tcPr>
          <w:p w14:paraId="5AF73FE7" w14:textId="37AA512C" w:rsidR="00376A3B" w:rsidRPr="00E56F7A" w:rsidRDefault="00376A3B" w:rsidP="007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 walker is leaving the </w:t>
            </w:r>
            <w:r w:rsidR="000C363A">
              <w:rPr>
                <w:rFonts w:ascii="Arial" w:hAnsi="Arial" w:cs="Arial"/>
              </w:rPr>
              <w:t>group,</w:t>
            </w:r>
            <w:r>
              <w:rPr>
                <w:rFonts w:ascii="Arial" w:hAnsi="Arial" w:cs="Arial"/>
              </w:rPr>
              <w:t xml:space="preserve"> they must notify the walk leader and the back marker.</w:t>
            </w:r>
          </w:p>
        </w:tc>
        <w:tc>
          <w:tcPr>
            <w:tcW w:w="1984" w:type="dxa"/>
          </w:tcPr>
          <w:p w14:paraId="2D4074B1" w14:textId="77777777" w:rsidR="00400D45" w:rsidRPr="00E56F7A" w:rsidRDefault="00400D45" w:rsidP="00CD29FF">
            <w:pPr>
              <w:rPr>
                <w:rFonts w:ascii="Arial" w:hAnsi="Arial" w:cs="Arial"/>
              </w:rPr>
            </w:pPr>
          </w:p>
          <w:p w14:paraId="5A5B5EA7" w14:textId="7AC9DD6C" w:rsidR="00400D45" w:rsidRPr="00E56F7A" w:rsidRDefault="00400D45" w:rsidP="00CD29FF">
            <w:pPr>
              <w:rPr>
                <w:rFonts w:ascii="Arial" w:hAnsi="Arial" w:cs="Arial"/>
              </w:rPr>
            </w:pPr>
          </w:p>
        </w:tc>
      </w:tr>
    </w:tbl>
    <w:p w14:paraId="4B072585" w14:textId="77777777" w:rsidR="000E1031" w:rsidRDefault="000E1031" w:rsidP="00CD29FF"/>
    <w:sectPr w:rsidR="000E1031" w:rsidSect="0079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8BD3" w14:textId="77777777" w:rsidR="000B4387" w:rsidRDefault="000B4387" w:rsidP="00957773">
      <w:pPr>
        <w:spacing w:after="0" w:line="240" w:lineRule="auto"/>
      </w:pPr>
      <w:r>
        <w:separator/>
      </w:r>
    </w:p>
  </w:endnote>
  <w:endnote w:type="continuationSeparator" w:id="0">
    <w:p w14:paraId="22EB26F2" w14:textId="77777777" w:rsidR="000B4387" w:rsidRDefault="000B4387" w:rsidP="0095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CA07" w14:textId="77777777" w:rsidR="00824D1F" w:rsidRDefault="0082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D9A7" w14:textId="77090E9A" w:rsidR="00957773" w:rsidRDefault="000C363A">
    <w:pPr>
      <w:pStyle w:val="Footer"/>
    </w:pPr>
    <w:r>
      <w:t>Version: V1/D2</w:t>
    </w:r>
    <w:r w:rsidR="000E1031">
      <w:ptab w:relativeTo="margin" w:alignment="center" w:leader="none"/>
    </w:r>
    <w:r>
      <w:t>Date: 04/03/2023</w:t>
    </w:r>
    <w:r w:rsidR="000E1031">
      <w:ptab w:relativeTo="margin" w:alignment="right" w:leader="none"/>
    </w:r>
    <w:r>
      <w:t>Review Date: 04/03/2026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8254" w14:textId="77777777" w:rsidR="00824D1F" w:rsidRDefault="0082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CB3C" w14:textId="77777777" w:rsidR="000B4387" w:rsidRDefault="000B4387" w:rsidP="00957773">
      <w:pPr>
        <w:spacing w:after="0" w:line="240" w:lineRule="auto"/>
      </w:pPr>
      <w:r>
        <w:separator/>
      </w:r>
    </w:p>
  </w:footnote>
  <w:footnote w:type="continuationSeparator" w:id="0">
    <w:p w14:paraId="5BA7383B" w14:textId="77777777" w:rsidR="000B4387" w:rsidRDefault="000B4387" w:rsidP="0095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AEC8" w14:textId="77777777" w:rsidR="00824D1F" w:rsidRDefault="00824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857D770" w14:textId="2ADBDEF9" w:rsidR="000E1031" w:rsidRDefault="000E1031" w:rsidP="000E103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</w:r>
        <w:r w:rsidRPr="00824D1F">
          <w:rPr>
            <w:rFonts w:ascii="Arial" w:hAnsi="Arial" w:cs="Arial"/>
            <w:b/>
            <w:bCs/>
          </w:rPr>
          <w:t>U3A Luton Walking Groups risk assessment</w:t>
        </w:r>
        <w:r w:rsidR="000C363A">
          <w:rPr>
            <w:rFonts w:ascii="Arial" w:hAnsi="Arial" w:cs="Arial"/>
          </w:rPr>
          <w:tab/>
        </w:r>
        <w:r w:rsidR="000C363A">
          <w:rPr>
            <w:rFonts w:ascii="Arial" w:hAnsi="Arial" w:cs="Arial"/>
          </w:rPr>
          <w:tab/>
        </w:r>
        <w:r w:rsidR="000C363A">
          <w:rPr>
            <w:rFonts w:ascii="Arial" w:hAnsi="Arial" w:cs="Arial"/>
          </w:rPr>
          <w:tab/>
        </w:r>
        <w:r w:rsidR="000C363A"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</w:p>
      <w:p w14:paraId="466E0FA6" w14:textId="1CF0BE47" w:rsidR="000E1031" w:rsidRDefault="00000000">
        <w:pPr>
          <w:pStyle w:val="Header"/>
        </w:pPr>
      </w:p>
    </w:sdtContent>
  </w:sdt>
  <w:p w14:paraId="6CD0C02C" w14:textId="55F8D772" w:rsidR="007B140C" w:rsidRDefault="007B1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2F2C" w14:textId="77777777" w:rsidR="00824D1F" w:rsidRDefault="00824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7FD0"/>
    <w:multiLevelType w:val="hybridMultilevel"/>
    <w:tmpl w:val="5C3003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9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67"/>
    <w:rsid w:val="00042675"/>
    <w:rsid w:val="00085D37"/>
    <w:rsid w:val="00093458"/>
    <w:rsid w:val="000B238B"/>
    <w:rsid w:val="000B4387"/>
    <w:rsid w:val="000B77F6"/>
    <w:rsid w:val="000C363A"/>
    <w:rsid w:val="000E1031"/>
    <w:rsid w:val="00157B1C"/>
    <w:rsid w:val="0016390D"/>
    <w:rsid w:val="00186DF8"/>
    <w:rsid w:val="001B7B75"/>
    <w:rsid w:val="00222AD2"/>
    <w:rsid w:val="00231732"/>
    <w:rsid w:val="00240D1D"/>
    <w:rsid w:val="00255BDC"/>
    <w:rsid w:val="00286F82"/>
    <w:rsid w:val="002E6F8C"/>
    <w:rsid w:val="002F254D"/>
    <w:rsid w:val="003011C3"/>
    <w:rsid w:val="0031465C"/>
    <w:rsid w:val="0033698C"/>
    <w:rsid w:val="00370B56"/>
    <w:rsid w:val="00376A3B"/>
    <w:rsid w:val="003C0DC5"/>
    <w:rsid w:val="003C6E8C"/>
    <w:rsid w:val="003D0E8E"/>
    <w:rsid w:val="003F04DE"/>
    <w:rsid w:val="00400D45"/>
    <w:rsid w:val="0040536B"/>
    <w:rsid w:val="00443367"/>
    <w:rsid w:val="004468FB"/>
    <w:rsid w:val="00453B9D"/>
    <w:rsid w:val="004F586A"/>
    <w:rsid w:val="005617A2"/>
    <w:rsid w:val="005B3EC3"/>
    <w:rsid w:val="005F0A57"/>
    <w:rsid w:val="00615F4A"/>
    <w:rsid w:val="006209D8"/>
    <w:rsid w:val="0062223F"/>
    <w:rsid w:val="00682EE9"/>
    <w:rsid w:val="006B2B1F"/>
    <w:rsid w:val="006C273C"/>
    <w:rsid w:val="006D29D9"/>
    <w:rsid w:val="006F6406"/>
    <w:rsid w:val="0076570B"/>
    <w:rsid w:val="00770920"/>
    <w:rsid w:val="00794F1A"/>
    <w:rsid w:val="0079610E"/>
    <w:rsid w:val="007B140C"/>
    <w:rsid w:val="008020EB"/>
    <w:rsid w:val="008025EC"/>
    <w:rsid w:val="00824D1F"/>
    <w:rsid w:val="00876EF0"/>
    <w:rsid w:val="008D16E0"/>
    <w:rsid w:val="008D363B"/>
    <w:rsid w:val="008E3244"/>
    <w:rsid w:val="00957773"/>
    <w:rsid w:val="00973620"/>
    <w:rsid w:val="009B39A5"/>
    <w:rsid w:val="009B5BD9"/>
    <w:rsid w:val="009C1F8E"/>
    <w:rsid w:val="009F4713"/>
    <w:rsid w:val="00A45964"/>
    <w:rsid w:val="00A54B99"/>
    <w:rsid w:val="00A63527"/>
    <w:rsid w:val="00B44F0B"/>
    <w:rsid w:val="00B45909"/>
    <w:rsid w:val="00B83329"/>
    <w:rsid w:val="00BB54A6"/>
    <w:rsid w:val="00BB6CF4"/>
    <w:rsid w:val="00C07561"/>
    <w:rsid w:val="00C10697"/>
    <w:rsid w:val="00C40E34"/>
    <w:rsid w:val="00C80D41"/>
    <w:rsid w:val="00CA3603"/>
    <w:rsid w:val="00CD06DE"/>
    <w:rsid w:val="00CD29FF"/>
    <w:rsid w:val="00D20C99"/>
    <w:rsid w:val="00D51A7D"/>
    <w:rsid w:val="00D56345"/>
    <w:rsid w:val="00DC5FEF"/>
    <w:rsid w:val="00DE20F1"/>
    <w:rsid w:val="00DF2B16"/>
    <w:rsid w:val="00E56F7A"/>
    <w:rsid w:val="00EB769E"/>
    <w:rsid w:val="00ED4052"/>
    <w:rsid w:val="00ED5239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95E7A"/>
  <w15:chartTrackingRefBased/>
  <w15:docId w15:val="{61E73886-4F95-4E81-8AB7-479C9195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A5"/>
    <w:pPr>
      <w:ind w:left="720"/>
      <w:contextualSpacing/>
    </w:pPr>
  </w:style>
  <w:style w:type="table" w:styleId="TableGrid">
    <w:name w:val="Table Grid"/>
    <w:basedOn w:val="TableNormal"/>
    <w:uiPriority w:val="39"/>
    <w:rsid w:val="0040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3"/>
  </w:style>
  <w:style w:type="paragraph" w:styleId="Footer">
    <w:name w:val="footer"/>
    <w:basedOn w:val="Normal"/>
    <w:link w:val="FooterChar"/>
    <w:uiPriority w:val="99"/>
    <w:unhideWhenUsed/>
    <w:rsid w:val="00957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Woodbridge</dc:creator>
  <cp:keywords/>
  <dc:description/>
  <cp:lastModifiedBy>eileen rand</cp:lastModifiedBy>
  <cp:revision>2</cp:revision>
  <dcterms:created xsi:type="dcterms:W3CDTF">2023-03-05T14:29:00Z</dcterms:created>
  <dcterms:modified xsi:type="dcterms:W3CDTF">2023-03-05T14:29:00Z</dcterms:modified>
</cp:coreProperties>
</file>