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5CE9" w14:textId="790E780B" w:rsidR="007F024C" w:rsidRPr="00985B8C" w:rsidRDefault="00985B8C" w:rsidP="00985B8C">
      <w:pPr>
        <w:jc w:val="center"/>
        <w:rPr>
          <w:b/>
          <w:bCs/>
          <w:sz w:val="32"/>
          <w:szCs w:val="32"/>
        </w:rPr>
      </w:pPr>
      <w:bookmarkStart w:id="0" w:name="_GoBack"/>
      <w:bookmarkEnd w:id="0"/>
      <w:r w:rsidRPr="00985B8C">
        <w:rPr>
          <w:b/>
          <w:bCs/>
          <w:sz w:val="32"/>
          <w:szCs w:val="32"/>
        </w:rPr>
        <w:t>Summary Trustees’ Report for 2023</w:t>
      </w:r>
    </w:p>
    <w:p w14:paraId="5C4D1B50" w14:textId="77777777" w:rsidR="00985B8C" w:rsidRDefault="00985B8C" w:rsidP="00985B8C">
      <w:pPr>
        <w:jc w:val="center"/>
        <w:rPr>
          <w:b/>
          <w:bCs/>
          <w:sz w:val="28"/>
          <w:szCs w:val="28"/>
        </w:rPr>
      </w:pPr>
    </w:p>
    <w:p w14:paraId="2D2A83D3" w14:textId="0CB104A5" w:rsidR="00985B8C" w:rsidRDefault="00985B8C" w:rsidP="00985B8C">
      <w:pPr>
        <w:rPr>
          <w:sz w:val="24"/>
          <w:szCs w:val="24"/>
        </w:rPr>
      </w:pPr>
      <w:r w:rsidRPr="00985B8C">
        <w:rPr>
          <w:sz w:val="24"/>
          <w:szCs w:val="24"/>
        </w:rPr>
        <w:t>This is an extract of the full report, which is available on our website</w:t>
      </w:r>
      <w:r>
        <w:rPr>
          <w:sz w:val="24"/>
          <w:szCs w:val="24"/>
        </w:rPr>
        <w:t>.</w:t>
      </w:r>
    </w:p>
    <w:tbl>
      <w:tblPr>
        <w:tblW w:w="10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1"/>
        <w:gridCol w:w="3320"/>
        <w:gridCol w:w="7302"/>
        <w:gridCol w:w="52"/>
      </w:tblGrid>
      <w:tr w:rsidR="00985B8C" w:rsidRPr="008C19D0" w14:paraId="0AF12219" w14:textId="77777777" w:rsidTr="00985B8C">
        <w:trPr>
          <w:gridBefore w:val="1"/>
          <w:wBefore w:w="51" w:type="dxa"/>
          <w:cantSplit/>
          <w:trHeight w:val="513"/>
          <w:jc w:val="center"/>
        </w:trPr>
        <w:tc>
          <w:tcPr>
            <w:tcW w:w="10674" w:type="dxa"/>
            <w:gridSpan w:val="3"/>
            <w:tcBorders>
              <w:top w:val="nil"/>
              <w:left w:val="nil"/>
              <w:bottom w:val="nil"/>
              <w:right w:val="nil"/>
            </w:tcBorders>
            <w:shd w:val="clear" w:color="auto" w:fill="000000"/>
          </w:tcPr>
          <w:p w14:paraId="13359DBD" w14:textId="77777777" w:rsidR="00985B8C" w:rsidRPr="008C19D0" w:rsidRDefault="00985B8C" w:rsidP="003A6235">
            <w:pPr>
              <w:rPr>
                <w:rFonts w:cs="Arial"/>
                <w:b/>
                <w:sz w:val="32"/>
              </w:rPr>
            </w:pPr>
            <w:r>
              <w:rPr>
                <w:rFonts w:cs="Arial"/>
                <w:b/>
                <w:sz w:val="32"/>
              </w:rPr>
              <w:t xml:space="preserve">Section C                    </w:t>
            </w:r>
            <w:r w:rsidRPr="008C19D0">
              <w:rPr>
                <w:rFonts w:cs="Arial"/>
                <w:b/>
                <w:sz w:val="32"/>
              </w:rPr>
              <w:t xml:space="preserve">Objectives and </w:t>
            </w:r>
            <w:r>
              <w:rPr>
                <w:rFonts w:cs="Arial"/>
                <w:b/>
                <w:sz w:val="32"/>
              </w:rPr>
              <w:t>a</w:t>
            </w:r>
            <w:r w:rsidRPr="008C19D0">
              <w:rPr>
                <w:rFonts w:cs="Arial"/>
                <w:b/>
                <w:sz w:val="32"/>
              </w:rPr>
              <w:t>ctivities</w:t>
            </w:r>
          </w:p>
        </w:tc>
      </w:tr>
      <w:tr w:rsidR="00985B8C" w:rsidRPr="008C19D0" w14:paraId="5AF9ECB1" w14:textId="77777777" w:rsidTr="00985B8C">
        <w:tblPrEx>
          <w:tblCellMar>
            <w:left w:w="107" w:type="dxa"/>
            <w:right w:w="107" w:type="dxa"/>
          </w:tblCellMar>
        </w:tblPrEx>
        <w:trPr>
          <w:gridAfter w:val="1"/>
          <w:wAfter w:w="51" w:type="dxa"/>
          <w:cantSplit/>
          <w:trHeight w:val="327"/>
          <w:jc w:val="center"/>
        </w:trPr>
        <w:tc>
          <w:tcPr>
            <w:tcW w:w="10674" w:type="dxa"/>
            <w:gridSpan w:val="3"/>
            <w:tcBorders>
              <w:top w:val="nil"/>
              <w:left w:val="nil"/>
              <w:bottom w:val="nil"/>
              <w:right w:val="nil"/>
            </w:tcBorders>
          </w:tcPr>
          <w:p w14:paraId="5FB5C2AA" w14:textId="77777777" w:rsidR="00985B8C" w:rsidRPr="008C19D0" w:rsidRDefault="00985B8C" w:rsidP="003A6235">
            <w:pPr>
              <w:numPr>
                <w:ilvl w:val="12"/>
                <w:numId w:val="0"/>
              </w:numPr>
              <w:rPr>
                <w:rFonts w:cs="Arial"/>
                <w:sz w:val="16"/>
              </w:rPr>
            </w:pPr>
          </w:p>
        </w:tc>
      </w:tr>
      <w:tr w:rsidR="00985B8C" w:rsidRPr="008C19D0" w14:paraId="7E5AD9BD" w14:textId="77777777" w:rsidTr="00985B8C">
        <w:tblPrEx>
          <w:tblCellMar>
            <w:left w:w="107" w:type="dxa"/>
            <w:right w:w="107" w:type="dxa"/>
          </w:tblCellMar>
        </w:tblPrEx>
        <w:trPr>
          <w:gridAfter w:val="1"/>
          <w:wAfter w:w="52" w:type="dxa"/>
          <w:trHeight w:val="1719"/>
          <w:jc w:val="center"/>
        </w:trPr>
        <w:tc>
          <w:tcPr>
            <w:tcW w:w="3371" w:type="dxa"/>
            <w:gridSpan w:val="2"/>
            <w:tcBorders>
              <w:top w:val="nil"/>
              <w:left w:val="nil"/>
              <w:bottom w:val="nil"/>
              <w:right w:val="nil"/>
            </w:tcBorders>
            <w:vAlign w:val="center"/>
          </w:tcPr>
          <w:p w14:paraId="40FA2295" w14:textId="77777777" w:rsidR="00985B8C" w:rsidRPr="008C19D0" w:rsidRDefault="00985B8C" w:rsidP="003A6235">
            <w:pPr>
              <w:numPr>
                <w:ilvl w:val="12"/>
                <w:numId w:val="0"/>
              </w:numPr>
              <w:spacing w:before="120" w:after="120"/>
              <w:rPr>
                <w:rFonts w:cs="Arial"/>
              </w:rPr>
            </w:pPr>
            <w:r>
              <w:rPr>
                <w:rFonts w:cs="Arial"/>
                <w:b/>
              </w:rPr>
              <w:t>S</w:t>
            </w:r>
            <w:r w:rsidRPr="008C19D0">
              <w:rPr>
                <w:rFonts w:cs="Arial"/>
                <w:b/>
              </w:rPr>
              <w:t>ummary of the objects of the charity set out in its governing document</w:t>
            </w:r>
          </w:p>
        </w:tc>
        <w:tc>
          <w:tcPr>
            <w:tcW w:w="7302" w:type="dxa"/>
            <w:tcBorders>
              <w:top w:val="single" w:sz="4" w:space="0" w:color="auto"/>
              <w:left w:val="single" w:sz="4" w:space="0" w:color="auto"/>
              <w:bottom w:val="single" w:sz="4" w:space="0" w:color="auto"/>
              <w:right w:val="single" w:sz="4" w:space="0" w:color="auto"/>
            </w:tcBorders>
          </w:tcPr>
          <w:p w14:paraId="570D97A0" w14:textId="77777777" w:rsidR="00985B8C" w:rsidRPr="007832F1" w:rsidRDefault="00985B8C" w:rsidP="003A6235">
            <w:pPr>
              <w:rPr>
                <w:rFonts w:cs="Calibri"/>
                <w:sz w:val="24"/>
                <w:szCs w:val="24"/>
              </w:rPr>
            </w:pPr>
            <w:r w:rsidRPr="007832F1">
              <w:rPr>
                <w:rFonts w:cs="Calibri"/>
                <w:sz w:val="24"/>
                <w:szCs w:val="24"/>
              </w:rPr>
              <w:t>Its purpose is to advance the education and improve the quality of life of those in their ‘third age’  who live in Flitwick and the surrounding area by offering group activities aimed at passing on the knowledge and skills of its membership and providing leisure and recreational groups across a wide spectrum of activities.</w:t>
            </w:r>
          </w:p>
          <w:p w14:paraId="3F7ECBBD" w14:textId="77777777" w:rsidR="00985B8C" w:rsidRPr="008C19D0" w:rsidRDefault="00985B8C" w:rsidP="003A6235">
            <w:pPr>
              <w:numPr>
                <w:ilvl w:val="12"/>
                <w:numId w:val="0"/>
              </w:numPr>
              <w:rPr>
                <w:rFonts w:cs="Arial"/>
              </w:rPr>
            </w:pPr>
          </w:p>
        </w:tc>
      </w:tr>
      <w:tr w:rsidR="00985B8C" w:rsidRPr="008C19D0" w14:paraId="6A5B8E9A" w14:textId="77777777" w:rsidTr="00985B8C">
        <w:tblPrEx>
          <w:tblCellMar>
            <w:left w:w="107" w:type="dxa"/>
            <w:right w:w="107" w:type="dxa"/>
          </w:tblCellMar>
        </w:tblPrEx>
        <w:trPr>
          <w:gridAfter w:val="1"/>
          <w:wAfter w:w="52" w:type="dxa"/>
          <w:trHeight w:val="7270"/>
          <w:jc w:val="center"/>
        </w:trPr>
        <w:tc>
          <w:tcPr>
            <w:tcW w:w="3371" w:type="dxa"/>
            <w:gridSpan w:val="2"/>
            <w:tcBorders>
              <w:top w:val="nil"/>
              <w:left w:val="nil"/>
              <w:bottom w:val="nil"/>
              <w:right w:val="nil"/>
            </w:tcBorders>
            <w:vAlign w:val="center"/>
          </w:tcPr>
          <w:p w14:paraId="7E601DD2" w14:textId="77777777" w:rsidR="00985B8C" w:rsidRPr="008C19D0" w:rsidRDefault="00985B8C" w:rsidP="003A6235">
            <w:pPr>
              <w:numPr>
                <w:ilvl w:val="12"/>
                <w:numId w:val="0"/>
              </w:numPr>
              <w:rPr>
                <w:rFonts w:cs="Arial"/>
              </w:rPr>
            </w:pPr>
            <w:r>
              <w:rPr>
                <w:rFonts w:cs="Arial"/>
                <w:b/>
              </w:rPr>
              <w:t>S</w:t>
            </w:r>
            <w:r w:rsidRPr="008C19D0">
              <w:rPr>
                <w:rFonts w:cs="Arial"/>
                <w:b/>
              </w:rPr>
              <w:t>ummary of the main activities</w:t>
            </w:r>
            <w:r>
              <w:rPr>
                <w:rFonts w:cs="Arial"/>
                <w:b/>
              </w:rPr>
              <w:t xml:space="preserve"> undertaken for the public benefit </w:t>
            </w:r>
            <w:r w:rsidRPr="008C19D0">
              <w:rPr>
                <w:rFonts w:cs="Arial"/>
                <w:b/>
              </w:rPr>
              <w:t>in relation to these objects</w:t>
            </w:r>
            <w:r>
              <w:rPr>
                <w:rFonts w:cs="Arial"/>
                <w:b/>
              </w:rPr>
              <w:t xml:space="preserve"> (include within this section the statutory declaration that trustees have had regard to the guidance issued by the Charity Commission on public benefit)</w:t>
            </w:r>
          </w:p>
        </w:tc>
        <w:tc>
          <w:tcPr>
            <w:tcW w:w="7302" w:type="dxa"/>
            <w:tcBorders>
              <w:top w:val="single" w:sz="4" w:space="0" w:color="auto"/>
              <w:left w:val="single" w:sz="4" w:space="0" w:color="auto"/>
              <w:bottom w:val="single" w:sz="4" w:space="0" w:color="auto"/>
              <w:right w:val="single" w:sz="4" w:space="0" w:color="auto"/>
            </w:tcBorders>
          </w:tcPr>
          <w:p w14:paraId="4864EC5D" w14:textId="77777777" w:rsidR="00985B8C" w:rsidRDefault="00985B8C" w:rsidP="003A6235">
            <w:pPr>
              <w:numPr>
                <w:ilvl w:val="12"/>
                <w:numId w:val="0"/>
              </w:numPr>
              <w:rPr>
                <w:rFonts w:cs="Arial"/>
              </w:rPr>
            </w:pPr>
          </w:p>
          <w:p w14:paraId="62CC74FD" w14:textId="77777777" w:rsidR="00985B8C" w:rsidRDefault="00985B8C" w:rsidP="003A6235">
            <w:pPr>
              <w:numPr>
                <w:ilvl w:val="12"/>
                <w:numId w:val="0"/>
              </w:numPr>
              <w:rPr>
                <w:rFonts w:cs="Calibri"/>
                <w:sz w:val="24"/>
                <w:szCs w:val="24"/>
              </w:rPr>
            </w:pPr>
            <w:r>
              <w:rPr>
                <w:rFonts w:cs="Calibri"/>
                <w:sz w:val="24"/>
                <w:szCs w:val="24"/>
              </w:rPr>
              <w:t xml:space="preserve"> At</w:t>
            </w:r>
            <w:r w:rsidRPr="007832F1">
              <w:rPr>
                <w:rFonts w:cs="Calibri"/>
                <w:sz w:val="24"/>
                <w:szCs w:val="24"/>
              </w:rPr>
              <w:t xml:space="preserve"> the year ending </w:t>
            </w:r>
            <w:r>
              <w:rPr>
                <w:rFonts w:cs="Calibri"/>
                <w:sz w:val="24"/>
                <w:szCs w:val="24"/>
              </w:rPr>
              <w:t>31 December 2023</w:t>
            </w:r>
            <w:r w:rsidRPr="007832F1">
              <w:rPr>
                <w:rFonts w:cs="Calibri"/>
                <w:sz w:val="24"/>
                <w:szCs w:val="24"/>
              </w:rPr>
              <w:t xml:space="preserve"> </w:t>
            </w:r>
            <w:r>
              <w:rPr>
                <w:rFonts w:cs="Calibri"/>
                <w:sz w:val="24"/>
                <w:szCs w:val="24"/>
              </w:rPr>
              <w:t xml:space="preserve">we had approximately 500 members and </w:t>
            </w:r>
            <w:r w:rsidRPr="007832F1">
              <w:rPr>
                <w:rFonts w:cs="Calibri"/>
                <w:sz w:val="24"/>
                <w:szCs w:val="24"/>
              </w:rPr>
              <w:t>we had</w:t>
            </w:r>
            <w:r>
              <w:rPr>
                <w:rFonts w:cs="Calibri"/>
                <w:sz w:val="24"/>
                <w:szCs w:val="24"/>
              </w:rPr>
              <w:t xml:space="preserve"> approximately</w:t>
            </w:r>
            <w:r w:rsidRPr="007832F1">
              <w:rPr>
                <w:rFonts w:cs="Calibri"/>
                <w:sz w:val="24"/>
                <w:szCs w:val="24"/>
              </w:rPr>
              <w:t xml:space="preserve"> </w:t>
            </w:r>
            <w:r>
              <w:rPr>
                <w:rFonts w:cs="Calibri"/>
                <w:sz w:val="24"/>
                <w:szCs w:val="24"/>
              </w:rPr>
              <w:t>5</w:t>
            </w:r>
            <w:r w:rsidRPr="007832F1">
              <w:rPr>
                <w:rFonts w:cs="Calibri"/>
                <w:sz w:val="24"/>
                <w:szCs w:val="24"/>
              </w:rPr>
              <w:t xml:space="preserve">0 groups, ranging from Latin to lunch groups and Art to Whist. We also have monthly meetings where a guest speaker addresses </w:t>
            </w:r>
            <w:r>
              <w:rPr>
                <w:rFonts w:cs="Calibri"/>
                <w:sz w:val="24"/>
                <w:szCs w:val="24"/>
              </w:rPr>
              <w:t>our members on a range of topics.</w:t>
            </w:r>
            <w:r w:rsidRPr="007832F1">
              <w:rPr>
                <w:rFonts w:cs="Calibri"/>
                <w:sz w:val="24"/>
                <w:szCs w:val="24"/>
              </w:rPr>
              <w:t xml:space="preserve"> </w:t>
            </w:r>
            <w:r>
              <w:rPr>
                <w:rFonts w:cs="Calibri"/>
                <w:sz w:val="24"/>
                <w:szCs w:val="24"/>
              </w:rPr>
              <w:t>Membership remained static over the year, the inevitable losses due to ill-</w:t>
            </w:r>
            <w:proofErr w:type="gramStart"/>
            <w:r>
              <w:rPr>
                <w:rFonts w:cs="Calibri"/>
                <w:sz w:val="24"/>
                <w:szCs w:val="24"/>
              </w:rPr>
              <w:t>health  and</w:t>
            </w:r>
            <w:proofErr w:type="gramEnd"/>
            <w:r>
              <w:rPr>
                <w:rFonts w:cs="Calibri"/>
                <w:sz w:val="24"/>
                <w:szCs w:val="24"/>
              </w:rPr>
              <w:t xml:space="preserve"> people moving away compensated by new members joining us. Membership is open to all in their ‘third age’, subject to a small annual donation of £10.00.</w:t>
            </w:r>
          </w:p>
          <w:p w14:paraId="61A2DE8D" w14:textId="77777777" w:rsidR="00985B8C" w:rsidRDefault="00985B8C" w:rsidP="003A6235">
            <w:pPr>
              <w:numPr>
                <w:ilvl w:val="12"/>
                <w:numId w:val="0"/>
              </w:numPr>
              <w:rPr>
                <w:rFonts w:cs="Calibri"/>
                <w:sz w:val="24"/>
                <w:szCs w:val="24"/>
              </w:rPr>
            </w:pPr>
          </w:p>
          <w:p w14:paraId="57960268" w14:textId="77777777" w:rsidR="00985B8C" w:rsidRDefault="00985B8C" w:rsidP="003A6235">
            <w:pPr>
              <w:numPr>
                <w:ilvl w:val="12"/>
                <w:numId w:val="0"/>
              </w:numPr>
              <w:rPr>
                <w:rFonts w:cs="Calibri"/>
                <w:sz w:val="24"/>
                <w:szCs w:val="24"/>
              </w:rPr>
            </w:pPr>
            <w:r>
              <w:rPr>
                <w:rFonts w:cs="Calibri"/>
                <w:sz w:val="24"/>
                <w:szCs w:val="24"/>
              </w:rPr>
              <w:t xml:space="preserve"> We also continued to produce our newsletter to members 3 times during the year, keeping our members in touch with what others were doing. The newsletters are available to the public on request, and we provide them whenever potential members show interest in our U3A</w:t>
            </w:r>
          </w:p>
          <w:p w14:paraId="0B4A2AA9" w14:textId="77777777" w:rsidR="00985B8C" w:rsidRDefault="00985B8C" w:rsidP="003A6235">
            <w:pPr>
              <w:numPr>
                <w:ilvl w:val="12"/>
                <w:numId w:val="0"/>
              </w:numPr>
              <w:rPr>
                <w:rFonts w:cs="Calibri"/>
                <w:sz w:val="24"/>
                <w:szCs w:val="24"/>
              </w:rPr>
            </w:pPr>
          </w:p>
          <w:p w14:paraId="24D39650" w14:textId="37534221" w:rsidR="00985B8C" w:rsidRDefault="00985B8C" w:rsidP="003A6235">
            <w:pPr>
              <w:numPr>
                <w:ilvl w:val="12"/>
                <w:numId w:val="0"/>
              </w:numPr>
              <w:rPr>
                <w:rFonts w:cs="Calibri"/>
                <w:sz w:val="24"/>
                <w:szCs w:val="24"/>
              </w:rPr>
            </w:pPr>
            <w:r>
              <w:rPr>
                <w:rFonts w:cs="Calibri"/>
                <w:sz w:val="24"/>
                <w:szCs w:val="24"/>
              </w:rPr>
              <w:t xml:space="preserve"> We are therefore satisfied that we have had regard to the guidance on ‘public benefit’ issued by the Charity Commission, by providing the range of opportunities described above to a wide and growing section of the local population. </w:t>
            </w:r>
          </w:p>
          <w:p w14:paraId="37A52CCE" w14:textId="77777777" w:rsidR="00985B8C" w:rsidRPr="00985B8C" w:rsidRDefault="00985B8C" w:rsidP="003A6235">
            <w:pPr>
              <w:numPr>
                <w:ilvl w:val="12"/>
                <w:numId w:val="0"/>
              </w:numPr>
              <w:rPr>
                <w:rFonts w:cs="Calibri"/>
                <w:sz w:val="24"/>
                <w:szCs w:val="24"/>
              </w:rPr>
            </w:pPr>
          </w:p>
          <w:p w14:paraId="29069F90" w14:textId="77777777" w:rsidR="00985B8C" w:rsidRDefault="00985B8C" w:rsidP="003A6235">
            <w:pPr>
              <w:numPr>
                <w:ilvl w:val="12"/>
                <w:numId w:val="0"/>
              </w:numPr>
              <w:rPr>
                <w:rFonts w:cs="Arial"/>
              </w:rPr>
            </w:pPr>
          </w:p>
          <w:p w14:paraId="4AAFD72C" w14:textId="77777777" w:rsidR="00985B8C" w:rsidRDefault="00985B8C" w:rsidP="003A6235">
            <w:pPr>
              <w:numPr>
                <w:ilvl w:val="12"/>
                <w:numId w:val="0"/>
              </w:numPr>
              <w:rPr>
                <w:rFonts w:cs="Arial"/>
              </w:rPr>
            </w:pPr>
          </w:p>
          <w:p w14:paraId="2E7F7295" w14:textId="77777777" w:rsidR="00985B8C" w:rsidRPr="008C19D0" w:rsidRDefault="00985B8C" w:rsidP="003A6235">
            <w:pPr>
              <w:numPr>
                <w:ilvl w:val="12"/>
                <w:numId w:val="0"/>
              </w:numPr>
              <w:rPr>
                <w:rFonts w:cs="Arial"/>
              </w:rPr>
            </w:pPr>
          </w:p>
        </w:tc>
      </w:tr>
      <w:tr w:rsidR="00985B8C" w:rsidRPr="008C19D0" w14:paraId="41EB534B" w14:textId="77777777" w:rsidTr="00985B8C">
        <w:tblPrEx>
          <w:tblCellMar>
            <w:left w:w="107" w:type="dxa"/>
            <w:right w:w="107" w:type="dxa"/>
          </w:tblCellMar>
        </w:tblPrEx>
        <w:trPr>
          <w:gridAfter w:val="1"/>
          <w:wAfter w:w="51" w:type="dxa"/>
          <w:cantSplit/>
          <w:trHeight w:val="354"/>
          <w:tblHeader/>
          <w:jc w:val="center"/>
        </w:trPr>
        <w:tc>
          <w:tcPr>
            <w:tcW w:w="10674" w:type="dxa"/>
            <w:gridSpan w:val="3"/>
            <w:tcBorders>
              <w:top w:val="nil"/>
              <w:left w:val="nil"/>
              <w:bottom w:val="nil"/>
              <w:right w:val="nil"/>
            </w:tcBorders>
            <w:shd w:val="clear" w:color="auto" w:fill="000000"/>
          </w:tcPr>
          <w:p w14:paraId="3761E718" w14:textId="77777777" w:rsidR="00985B8C" w:rsidRPr="008C19D0" w:rsidRDefault="00985B8C" w:rsidP="003A6235">
            <w:pPr>
              <w:pStyle w:val="Heading5"/>
              <w:rPr>
                <w:rFonts w:cs="Arial"/>
              </w:rPr>
            </w:pPr>
            <w:r>
              <w:rPr>
                <w:rFonts w:cs="Arial"/>
              </w:rPr>
              <w:lastRenderedPageBreak/>
              <w:t xml:space="preserve">Section D                      </w:t>
            </w:r>
            <w:r w:rsidRPr="008C19D0">
              <w:rPr>
                <w:rFonts w:cs="Arial"/>
              </w:rPr>
              <w:t xml:space="preserve">Achievements and </w:t>
            </w:r>
            <w:r>
              <w:rPr>
                <w:rFonts w:cs="Arial"/>
              </w:rPr>
              <w:t>p</w:t>
            </w:r>
            <w:r w:rsidRPr="008C19D0">
              <w:rPr>
                <w:rFonts w:cs="Arial"/>
              </w:rPr>
              <w:t>erformance</w:t>
            </w:r>
          </w:p>
        </w:tc>
      </w:tr>
      <w:tr w:rsidR="00985B8C" w:rsidRPr="00DC5865" w14:paraId="70B5EA21" w14:textId="77777777" w:rsidTr="00985B8C">
        <w:tblPrEx>
          <w:tblCellMar>
            <w:left w:w="107" w:type="dxa"/>
            <w:right w:w="107" w:type="dxa"/>
          </w:tblCellMar>
        </w:tblPrEx>
        <w:trPr>
          <w:gridAfter w:val="1"/>
          <w:wAfter w:w="51" w:type="dxa"/>
          <w:trHeight w:val="327"/>
          <w:jc w:val="center"/>
        </w:trPr>
        <w:tc>
          <w:tcPr>
            <w:tcW w:w="10674" w:type="dxa"/>
            <w:gridSpan w:val="3"/>
            <w:tcBorders>
              <w:top w:val="nil"/>
              <w:left w:val="nil"/>
              <w:bottom w:val="nil"/>
              <w:right w:val="nil"/>
            </w:tcBorders>
          </w:tcPr>
          <w:p w14:paraId="7BE73A56" w14:textId="77777777" w:rsidR="00985B8C" w:rsidRPr="00DC5865" w:rsidRDefault="00985B8C" w:rsidP="003A6235">
            <w:pPr>
              <w:numPr>
                <w:ilvl w:val="12"/>
                <w:numId w:val="0"/>
              </w:numPr>
              <w:rPr>
                <w:rFonts w:cs="Arial"/>
                <w:sz w:val="16"/>
                <w:szCs w:val="16"/>
              </w:rPr>
            </w:pPr>
          </w:p>
        </w:tc>
      </w:tr>
      <w:tr w:rsidR="00985B8C" w:rsidRPr="008C19D0" w14:paraId="0502A685" w14:textId="77777777" w:rsidTr="00985B8C">
        <w:tblPrEx>
          <w:tblCellMar>
            <w:left w:w="107" w:type="dxa"/>
            <w:right w:w="107" w:type="dxa"/>
          </w:tblCellMar>
        </w:tblPrEx>
        <w:trPr>
          <w:gridAfter w:val="1"/>
          <w:wAfter w:w="52" w:type="dxa"/>
          <w:trHeight w:val="4526"/>
          <w:jc w:val="center"/>
        </w:trPr>
        <w:tc>
          <w:tcPr>
            <w:tcW w:w="3371" w:type="dxa"/>
            <w:gridSpan w:val="2"/>
            <w:tcBorders>
              <w:top w:val="nil"/>
              <w:left w:val="nil"/>
              <w:bottom w:val="nil"/>
              <w:right w:val="single" w:sz="4" w:space="0" w:color="auto"/>
            </w:tcBorders>
          </w:tcPr>
          <w:p w14:paraId="0DE3DB9E" w14:textId="77777777" w:rsidR="00985B8C" w:rsidRPr="008C19D0" w:rsidRDefault="00985B8C" w:rsidP="003A6235">
            <w:pPr>
              <w:spacing w:before="120" w:after="120"/>
              <w:rPr>
                <w:rFonts w:cs="Arial"/>
              </w:rPr>
            </w:pPr>
            <w:r w:rsidRPr="00DC5865">
              <w:rPr>
                <w:rFonts w:cs="Arial"/>
                <w:b/>
              </w:rPr>
              <w:t>Summary of the main achievements of the charity during the year</w:t>
            </w:r>
            <w:r>
              <w:rPr>
                <w:rFonts w:cs="Arial"/>
              </w:rPr>
              <w:t xml:space="preserve"> </w:t>
            </w:r>
          </w:p>
          <w:p w14:paraId="796CF7F7" w14:textId="77777777" w:rsidR="00985B8C" w:rsidRPr="008C19D0" w:rsidRDefault="00985B8C" w:rsidP="003A6235">
            <w:pPr>
              <w:tabs>
                <w:tab w:val="left" w:pos="284"/>
              </w:tabs>
              <w:spacing w:after="120"/>
              <w:rPr>
                <w:rFonts w:cs="Arial"/>
              </w:rPr>
            </w:pPr>
          </w:p>
        </w:tc>
        <w:tc>
          <w:tcPr>
            <w:tcW w:w="7302" w:type="dxa"/>
            <w:tcBorders>
              <w:top w:val="single" w:sz="4" w:space="0" w:color="auto"/>
              <w:left w:val="single" w:sz="4" w:space="0" w:color="auto"/>
              <w:bottom w:val="single" w:sz="4" w:space="0" w:color="auto"/>
              <w:right w:val="single" w:sz="4" w:space="0" w:color="auto"/>
            </w:tcBorders>
          </w:tcPr>
          <w:p w14:paraId="6471A814" w14:textId="77777777" w:rsidR="00985B8C" w:rsidRPr="00ED1573" w:rsidRDefault="00985B8C" w:rsidP="003A6235">
            <w:pPr>
              <w:numPr>
                <w:ilvl w:val="12"/>
                <w:numId w:val="0"/>
              </w:numPr>
              <w:rPr>
                <w:rFonts w:cs="Arial"/>
              </w:rPr>
            </w:pPr>
            <w:r w:rsidRPr="00ED1573">
              <w:rPr>
                <w:rFonts w:cs="Arial"/>
              </w:rPr>
              <w:t xml:space="preserve">We continued with our program of monthly meetings open to all our members, with guest speakers. </w:t>
            </w:r>
            <w:r>
              <w:rPr>
                <w:rFonts w:cs="Arial"/>
              </w:rPr>
              <w:t xml:space="preserve">These are generally very informative across a range of topics, including for example, about a suffragette, and the history of the postal service. </w:t>
            </w:r>
            <w:r w:rsidRPr="00ED1573">
              <w:rPr>
                <w:rFonts w:cs="Arial"/>
              </w:rPr>
              <w:t xml:space="preserve">These meetings </w:t>
            </w:r>
            <w:r>
              <w:rPr>
                <w:rFonts w:cs="Arial"/>
              </w:rPr>
              <w:t xml:space="preserve">also </w:t>
            </w:r>
            <w:r w:rsidRPr="00ED1573">
              <w:rPr>
                <w:rFonts w:cs="Arial"/>
              </w:rPr>
              <w:t>give us an opportunity to keep our members informed of events etc.</w:t>
            </w:r>
          </w:p>
          <w:p w14:paraId="6A8C809D" w14:textId="77777777" w:rsidR="00985B8C" w:rsidRPr="00ED1573" w:rsidRDefault="00985B8C" w:rsidP="003A6235">
            <w:pPr>
              <w:numPr>
                <w:ilvl w:val="12"/>
                <w:numId w:val="0"/>
              </w:numPr>
              <w:rPr>
                <w:rFonts w:cs="Arial"/>
              </w:rPr>
            </w:pPr>
            <w:r w:rsidRPr="00ED1573">
              <w:rPr>
                <w:rFonts w:cs="Arial"/>
              </w:rPr>
              <w:t>Our ‘Awaydays’ team provided bi-monthly trips to a variety of   venues, offering a chance to learn about the history and function of the places visited.</w:t>
            </w:r>
          </w:p>
          <w:p w14:paraId="4361216C" w14:textId="77777777" w:rsidR="00985B8C" w:rsidRPr="00ED1573" w:rsidRDefault="00985B8C" w:rsidP="003A6235">
            <w:pPr>
              <w:numPr>
                <w:ilvl w:val="12"/>
                <w:numId w:val="0"/>
              </w:numPr>
              <w:rPr>
                <w:rFonts w:cs="Arial"/>
              </w:rPr>
            </w:pPr>
            <w:r w:rsidRPr="00ED1573">
              <w:rPr>
                <w:rFonts w:cs="Arial"/>
              </w:rPr>
              <w:t>As always, we are very dependent on those of our members who lead each of our Groups. It is they who work hard to maintain members’ interest and attendance at the various groups.</w:t>
            </w:r>
            <w:r>
              <w:rPr>
                <w:rFonts w:cs="Arial"/>
              </w:rPr>
              <w:t xml:space="preserve"> Attendance at the groups remains good. The range of groups is substantial </w:t>
            </w:r>
            <w:proofErr w:type="gramStart"/>
            <w:r>
              <w:rPr>
                <w:rFonts w:cs="Arial"/>
              </w:rPr>
              <w:t>covering  a</w:t>
            </w:r>
            <w:proofErr w:type="gramEnd"/>
            <w:r>
              <w:rPr>
                <w:rFonts w:cs="Arial"/>
              </w:rPr>
              <w:t xml:space="preserve"> number of languages, various music groups, art, literature card games, and some social groups like lunch meetings.</w:t>
            </w:r>
          </w:p>
          <w:p w14:paraId="7FE814B1" w14:textId="77777777" w:rsidR="00985B8C" w:rsidRPr="00ED1573" w:rsidRDefault="00985B8C" w:rsidP="003A6235">
            <w:pPr>
              <w:numPr>
                <w:ilvl w:val="12"/>
                <w:numId w:val="0"/>
              </w:numPr>
              <w:rPr>
                <w:rFonts w:cs="Arial"/>
              </w:rPr>
            </w:pPr>
            <w:r w:rsidRPr="00ED1573">
              <w:rPr>
                <w:rFonts w:cs="Arial"/>
              </w:rPr>
              <w:t xml:space="preserve">We also tried advertising for new members locally, which raised our </w:t>
            </w:r>
            <w:proofErr w:type="gramStart"/>
            <w:r w:rsidRPr="00ED1573">
              <w:rPr>
                <w:rFonts w:cs="Arial"/>
              </w:rPr>
              <w:t>profile .</w:t>
            </w:r>
            <w:proofErr w:type="gramEnd"/>
          </w:p>
          <w:p w14:paraId="056EC184" w14:textId="77777777" w:rsidR="00985B8C" w:rsidRPr="008C19D0" w:rsidRDefault="00985B8C" w:rsidP="003A6235">
            <w:pPr>
              <w:numPr>
                <w:ilvl w:val="12"/>
                <w:numId w:val="0"/>
              </w:numPr>
              <w:rPr>
                <w:rFonts w:cs="Arial"/>
              </w:rPr>
            </w:pPr>
          </w:p>
        </w:tc>
      </w:tr>
    </w:tbl>
    <w:p w14:paraId="270D6BFA" w14:textId="77777777" w:rsidR="00985B8C" w:rsidRDefault="00985B8C" w:rsidP="00985B8C">
      <w:pPr>
        <w:rPr>
          <w:sz w:val="24"/>
          <w:szCs w:val="24"/>
        </w:rPr>
      </w:pPr>
    </w:p>
    <w:p w14:paraId="5A9BBAA7" w14:textId="77777777" w:rsidR="00985B8C" w:rsidRPr="00985B8C" w:rsidRDefault="00985B8C" w:rsidP="00985B8C">
      <w:pPr>
        <w:rPr>
          <w:sz w:val="24"/>
          <w:szCs w:val="24"/>
        </w:rPr>
      </w:pPr>
    </w:p>
    <w:sectPr w:rsidR="00985B8C" w:rsidRPr="0098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8C"/>
    <w:rsid w:val="007F024C"/>
    <w:rsid w:val="00985B8C"/>
    <w:rsid w:val="00CD18F8"/>
    <w:rsid w:val="00D1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0AD7"/>
  <w15:chartTrackingRefBased/>
  <w15:docId w15:val="{BC7176AD-8BB7-4979-AAAD-8C7769F1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85B8C"/>
    <w:pPr>
      <w:keepNext/>
      <w:spacing w:after="0" w:line="240" w:lineRule="auto"/>
      <w:outlineLvl w:val="4"/>
    </w:pPr>
    <w:rPr>
      <w:rFonts w:ascii="Arial" w:eastAsia="Times New Roman" w:hAnsi="Arial" w:cs="Times New Roman"/>
      <w:kern w:val="0"/>
      <w:sz w:val="32"/>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5B8C"/>
    <w:rPr>
      <w:rFonts w:ascii="Arial" w:eastAsia="Times New Roman" w:hAnsi="Arial" w:cs="Times New Roman"/>
      <w:kern w:val="0"/>
      <w:sz w:val="32"/>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Rose</dc:creator>
  <cp:keywords/>
  <dc:description/>
  <cp:lastModifiedBy>Ed Fisher</cp:lastModifiedBy>
  <cp:revision>2</cp:revision>
  <dcterms:created xsi:type="dcterms:W3CDTF">2024-01-21T09:47:00Z</dcterms:created>
  <dcterms:modified xsi:type="dcterms:W3CDTF">2024-01-21T09:47:00Z</dcterms:modified>
</cp:coreProperties>
</file>