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D00" w:rsidRDefault="00864301" w:rsidP="00864301">
      <w:pPr>
        <w:pStyle w:val="Heading1"/>
      </w:pPr>
      <w:r>
        <w:t>Blyth u3a</w:t>
      </w:r>
      <w:r w:rsidR="00D37A2F">
        <w:t xml:space="preserve"> and Cramlington u3a</w:t>
      </w:r>
      <w:r w:rsidR="00BF6DB3">
        <w:t xml:space="preserve"> Partnership Agreement</w:t>
      </w:r>
    </w:p>
    <w:p w:rsidR="007B240C" w:rsidRDefault="007B240C" w:rsidP="007B240C"/>
    <w:p w:rsidR="007B240C" w:rsidRDefault="007B240C" w:rsidP="007B240C">
      <w:pPr>
        <w:pStyle w:val="Heading2"/>
      </w:pPr>
      <w:r>
        <w:t>Purpose</w:t>
      </w:r>
    </w:p>
    <w:p w:rsidR="007B240C" w:rsidRPr="007B240C" w:rsidRDefault="007B240C" w:rsidP="007B240C">
      <w:r>
        <w:t>To provide a partnership agreement, which will be fair and effective. This will meet the needs and local requirements of both Blyth and Cramlington u3a</w:t>
      </w:r>
      <w:r w:rsidR="00AC3DC8">
        <w:t>’s</w:t>
      </w:r>
      <w:r>
        <w:t xml:space="preserve">. </w:t>
      </w:r>
    </w:p>
    <w:p w:rsidR="00D37A2F" w:rsidRDefault="00D37A2F" w:rsidP="00D37A2F"/>
    <w:p w:rsidR="00D37A2F" w:rsidRDefault="00D37A2F" w:rsidP="00D37A2F">
      <w:r>
        <w:t xml:space="preserve">This document sets out the terms of agreement between Blyth u3a and Cramlington u3a of a joint enterprise </w:t>
      </w:r>
      <w:r w:rsidR="00671E2C">
        <w:t>collaboration. M</w:t>
      </w:r>
      <w:r>
        <w:t>embers of each respective u3a may, wit</w:t>
      </w:r>
      <w:r w:rsidR="00671E2C">
        <w:t>h permission of the individual h</w:t>
      </w:r>
      <w:r>
        <w:t xml:space="preserve">ost Group Leaders, join </w:t>
      </w:r>
      <w:r w:rsidR="00AF3449">
        <w:t>specific</w:t>
      </w:r>
      <w:r>
        <w:t xml:space="preserve"> interest groups registered to other u3a.</w:t>
      </w:r>
      <w:r w:rsidR="00A0061C">
        <w:t xml:space="preserve"> This will be available to each member for two groups only without joining as an associate member. If a member wishes to join more than two groups of the sister u3a then they must apply to become an associate member.</w:t>
      </w:r>
    </w:p>
    <w:p w:rsidR="00A14AA9" w:rsidRDefault="00A14AA9" w:rsidP="00466E8D">
      <w:pPr>
        <w:pStyle w:val="Heading2"/>
      </w:pPr>
      <w:r>
        <w:t>Group Sharing Agreement</w:t>
      </w:r>
    </w:p>
    <w:p w:rsidR="00A14AA9" w:rsidRDefault="00A14AA9" w:rsidP="00D37A2F">
      <w:r>
        <w:t xml:space="preserve">Interest groups within the Blyth/ Cramlington partnership, who are party to this agreement and wish </w:t>
      </w:r>
      <w:r w:rsidR="00466E8D">
        <w:t>to open up their group to persons who are not registered members in their own u3a, agree to the following conditions.</w:t>
      </w:r>
    </w:p>
    <w:p w:rsidR="00466E8D" w:rsidRDefault="00466E8D" w:rsidP="00D37A2F"/>
    <w:p w:rsidR="00466E8D" w:rsidRDefault="00466E8D" w:rsidP="00466E8D">
      <w:pPr>
        <w:pStyle w:val="ListParagraph"/>
        <w:numPr>
          <w:ilvl w:val="0"/>
          <w:numId w:val="17"/>
        </w:numPr>
      </w:pPr>
      <w:r>
        <w:t>Persons joining a group must prove they are a paid up member of the other u3a party to this agreement</w:t>
      </w:r>
    </w:p>
    <w:p w:rsidR="00466E8D" w:rsidRDefault="00466E8D" w:rsidP="002F40FA">
      <w:pPr>
        <w:pStyle w:val="ListParagraph"/>
        <w:numPr>
          <w:ilvl w:val="0"/>
          <w:numId w:val="17"/>
        </w:numPr>
      </w:pPr>
      <w:r>
        <w:t>It is the group leaders decision, with agreement from their committee, to open up their interest group to members of the other u3a who are party to this agreement</w:t>
      </w:r>
    </w:p>
    <w:p w:rsidR="00466E8D" w:rsidRDefault="00466E8D" w:rsidP="00466E8D">
      <w:pPr>
        <w:pStyle w:val="ListParagraph"/>
        <w:numPr>
          <w:ilvl w:val="0"/>
          <w:numId w:val="17"/>
        </w:numPr>
      </w:pPr>
      <w:r>
        <w:t>These arrangements will apply only to interest groups and will not include attend</w:t>
      </w:r>
      <w:r w:rsidR="00C13114">
        <w:t>ance at main meetings</w:t>
      </w:r>
    </w:p>
    <w:p w:rsidR="00C13114" w:rsidRDefault="00C13114" w:rsidP="00466E8D">
      <w:pPr>
        <w:pStyle w:val="ListParagraph"/>
        <w:numPr>
          <w:ilvl w:val="0"/>
          <w:numId w:val="17"/>
        </w:numPr>
      </w:pPr>
      <w:r>
        <w:t>All issues arising regarding this partnership will be referred to the host u3a committee and will be reported back to the member’s u3a</w:t>
      </w:r>
    </w:p>
    <w:p w:rsidR="00C13114" w:rsidRDefault="00C13114" w:rsidP="00466E8D">
      <w:pPr>
        <w:pStyle w:val="ListParagraph"/>
        <w:numPr>
          <w:ilvl w:val="0"/>
          <w:numId w:val="17"/>
        </w:numPr>
      </w:pPr>
      <w:r>
        <w:t>This is a reciprocal agreement between Blyth and Cramlington u3a committees who are party to this agreement, and is restricted to these u3a’s only</w:t>
      </w:r>
    </w:p>
    <w:p w:rsidR="00C13114" w:rsidRDefault="00C13114" w:rsidP="00466E8D">
      <w:pPr>
        <w:pStyle w:val="ListParagraph"/>
        <w:numPr>
          <w:ilvl w:val="0"/>
          <w:numId w:val="17"/>
        </w:numPr>
      </w:pPr>
      <w:r>
        <w:t>This agreement only applies to specific groups in these u3a’s (normally with low numbers). If you wish to join any other groups or attend the main monthly meetings you will need to join the other u3a as an affiliate member</w:t>
      </w:r>
    </w:p>
    <w:p w:rsidR="005D7EC7" w:rsidRDefault="005D7EC7" w:rsidP="00466E8D">
      <w:pPr>
        <w:pStyle w:val="ListParagraph"/>
        <w:numPr>
          <w:ilvl w:val="0"/>
          <w:numId w:val="17"/>
        </w:numPr>
      </w:pPr>
      <w:r>
        <w:t>Members joining a group from the sister u3a will adhere to the same rules and contribute the same entry fees (if applicable) as members of from the host u3a</w:t>
      </w:r>
    </w:p>
    <w:p w:rsidR="00C13114" w:rsidRDefault="00C13114" w:rsidP="00C13114"/>
    <w:p w:rsidR="00C13114" w:rsidRDefault="00C13114" w:rsidP="00C13114">
      <w:pPr>
        <w:pStyle w:val="Heading2"/>
      </w:pPr>
      <w:r>
        <w:t>Responsibilities</w:t>
      </w:r>
    </w:p>
    <w:p w:rsidR="00A14AA9" w:rsidRDefault="00A14AA9" w:rsidP="00E84794"/>
    <w:p w:rsidR="00A74DED" w:rsidRDefault="00A74DED" w:rsidP="00E84794">
      <w:r w:rsidRPr="00A74DED">
        <w:t xml:space="preserve">The </w:t>
      </w:r>
      <w:r>
        <w:t>G</w:t>
      </w:r>
      <w:r w:rsidRPr="00A74DED">
        <w:t xml:space="preserve">roup </w:t>
      </w:r>
      <w:r>
        <w:t>L</w:t>
      </w:r>
      <w:r w:rsidRPr="00A74DED">
        <w:t>eaders will record details of any members</w:t>
      </w:r>
      <w:r>
        <w:t xml:space="preserve"> who avail themselves of this agreement. </w:t>
      </w:r>
    </w:p>
    <w:p w:rsidR="00A74DED" w:rsidRDefault="00A74DED" w:rsidP="00E84794">
      <w:r>
        <w:t>The Group Leaders will pass the full details of any members attending groups to their respective Group Coordinator.</w:t>
      </w:r>
    </w:p>
    <w:p w:rsidR="00A74DED" w:rsidRDefault="00A74DED" w:rsidP="00E84794">
      <w:r>
        <w:lastRenderedPageBreak/>
        <w:t>Group Coordinators will record details of members utilising this partnership</w:t>
      </w:r>
      <w:r w:rsidR="007B240C">
        <w:t xml:space="preserve"> and</w:t>
      </w:r>
      <w:r>
        <w:t xml:space="preserve"> liaise </w:t>
      </w:r>
      <w:r w:rsidR="007B240C">
        <w:t xml:space="preserve">with each other </w:t>
      </w:r>
      <w:r>
        <w:t>on a monthly basis</w:t>
      </w:r>
      <w:r w:rsidR="007B240C">
        <w:t>.</w:t>
      </w:r>
    </w:p>
    <w:p w:rsidR="007B240C" w:rsidRDefault="007B240C" w:rsidP="00E84794">
      <w:r>
        <w:t>Each respective committee will review this procedure on an annual basis or sooner if the need arises.</w:t>
      </w:r>
    </w:p>
    <w:p w:rsidR="007B240C" w:rsidRDefault="007B240C" w:rsidP="00E84794">
      <w:r>
        <w:t>This partnership can be annulled at any time with agreement of both committees or unilaterally in writing (including email) from one committee to the other</w:t>
      </w:r>
      <w:r w:rsidR="00671E2C">
        <w:t>.</w:t>
      </w:r>
    </w:p>
    <w:p w:rsidR="00AF3449" w:rsidRDefault="00AF3449" w:rsidP="00E84794"/>
    <w:p w:rsidR="00AF3449" w:rsidRDefault="00AF3449" w:rsidP="00E84794"/>
    <w:p w:rsidR="00AF3449" w:rsidRDefault="00AF3449" w:rsidP="00E84794">
      <w:r>
        <w:t>For further information on the group sharing agreement please contact the Groups Coordinator</w:t>
      </w:r>
    </w:p>
    <w:p w:rsidR="00A14AA9" w:rsidRDefault="00A14AA9" w:rsidP="00E84794"/>
    <w:p w:rsidR="00974E74" w:rsidRPr="00A57DC7" w:rsidRDefault="008747A4" w:rsidP="00974E74">
      <w:pPr>
        <w:rPr>
          <w:rFonts w:eastAsiaTheme="majorEastAsia" w:cstheme="majorBidi"/>
          <w:b/>
          <w:color w:val="1C5B9A"/>
          <w:sz w:val="26"/>
          <w:szCs w:val="26"/>
        </w:rPr>
      </w:pPr>
      <w:r w:rsidRPr="00A57DC7">
        <w:rPr>
          <w:rFonts w:eastAsiaTheme="majorEastAsia" w:cstheme="majorBidi"/>
          <w:b/>
          <w:color w:val="1C5B9A"/>
          <w:sz w:val="26"/>
          <w:szCs w:val="26"/>
        </w:rPr>
        <w:t>Signatories</w:t>
      </w:r>
    </w:p>
    <w:p w:rsidR="00A57DC7" w:rsidRDefault="00A57DC7" w:rsidP="00974E74"/>
    <w:tbl>
      <w:tblPr>
        <w:tblStyle w:val="TableGrid"/>
        <w:tblW w:w="0" w:type="auto"/>
        <w:tblLook w:val="04A0"/>
      </w:tblPr>
      <w:tblGrid>
        <w:gridCol w:w="3936"/>
        <w:gridCol w:w="2629"/>
        <w:gridCol w:w="3283"/>
      </w:tblGrid>
      <w:tr w:rsidR="00BF6DB3" w:rsidTr="008747A4">
        <w:tc>
          <w:tcPr>
            <w:tcW w:w="3936" w:type="dxa"/>
          </w:tcPr>
          <w:p w:rsidR="00BF6DB3" w:rsidRDefault="008747A4" w:rsidP="00974E74">
            <w:r>
              <w:t>Signature</w:t>
            </w:r>
          </w:p>
        </w:tc>
        <w:tc>
          <w:tcPr>
            <w:tcW w:w="2629" w:type="dxa"/>
          </w:tcPr>
          <w:p w:rsidR="00BF6DB3" w:rsidRDefault="008747A4" w:rsidP="00974E74">
            <w:r>
              <w:t>u3a</w:t>
            </w:r>
          </w:p>
        </w:tc>
        <w:tc>
          <w:tcPr>
            <w:tcW w:w="3283" w:type="dxa"/>
          </w:tcPr>
          <w:p w:rsidR="00BF6DB3" w:rsidRDefault="008747A4" w:rsidP="00974E74">
            <w:r>
              <w:t>Date</w:t>
            </w:r>
          </w:p>
        </w:tc>
      </w:tr>
      <w:tr w:rsidR="00BF6DB3" w:rsidTr="008747A4">
        <w:trPr>
          <w:trHeight w:val="597"/>
        </w:trPr>
        <w:tc>
          <w:tcPr>
            <w:tcW w:w="3936" w:type="dxa"/>
          </w:tcPr>
          <w:p w:rsidR="00BF6DB3" w:rsidRDefault="00BF6DB3" w:rsidP="008747A4">
            <w:pPr>
              <w:jc w:val="center"/>
            </w:pPr>
          </w:p>
        </w:tc>
        <w:tc>
          <w:tcPr>
            <w:tcW w:w="2629" w:type="dxa"/>
          </w:tcPr>
          <w:p w:rsidR="008747A4" w:rsidRDefault="008747A4" w:rsidP="008747A4">
            <w:pPr>
              <w:jc w:val="center"/>
            </w:pPr>
          </w:p>
          <w:p w:rsidR="00BF6DB3" w:rsidRPr="008747A4" w:rsidRDefault="008747A4" w:rsidP="008747A4">
            <w:pPr>
              <w:ind w:firstLine="720"/>
            </w:pPr>
            <w:r>
              <w:t>Cramlington</w:t>
            </w:r>
          </w:p>
        </w:tc>
        <w:tc>
          <w:tcPr>
            <w:tcW w:w="3283" w:type="dxa"/>
          </w:tcPr>
          <w:p w:rsidR="00BF6DB3" w:rsidRDefault="00BF6DB3" w:rsidP="008747A4">
            <w:pPr>
              <w:jc w:val="center"/>
            </w:pPr>
          </w:p>
        </w:tc>
      </w:tr>
      <w:tr w:rsidR="008747A4" w:rsidTr="008747A4">
        <w:trPr>
          <w:trHeight w:val="691"/>
        </w:trPr>
        <w:tc>
          <w:tcPr>
            <w:tcW w:w="3936" w:type="dxa"/>
          </w:tcPr>
          <w:p w:rsidR="008747A4" w:rsidRDefault="008747A4" w:rsidP="008747A4">
            <w:pPr>
              <w:rPr>
                <w:rFonts w:ascii="Vladimir Script" w:hAnsi="Vladimir Script"/>
                <w:color w:val="44546A" w:themeColor="text2"/>
                <w:sz w:val="52"/>
                <w:szCs w:val="52"/>
              </w:rPr>
            </w:pPr>
          </w:p>
          <w:p w:rsidR="008747A4" w:rsidRPr="008747A4" w:rsidRDefault="008747A4" w:rsidP="008747A4">
            <w:pPr>
              <w:rPr>
                <w:sz w:val="36"/>
                <w:szCs w:val="36"/>
              </w:rPr>
            </w:pPr>
            <w:r w:rsidRPr="008747A4">
              <w:rPr>
                <w:rFonts w:ascii="Vladimir Script" w:hAnsi="Vladimir Script"/>
                <w:color w:val="44546A" w:themeColor="text2"/>
                <w:sz w:val="36"/>
                <w:szCs w:val="36"/>
              </w:rPr>
              <w:t>John Gordon</w:t>
            </w:r>
          </w:p>
          <w:p w:rsidR="008747A4" w:rsidRDefault="008747A4" w:rsidP="008747A4">
            <w:pPr>
              <w:jc w:val="center"/>
            </w:pPr>
          </w:p>
        </w:tc>
        <w:tc>
          <w:tcPr>
            <w:tcW w:w="2629" w:type="dxa"/>
          </w:tcPr>
          <w:p w:rsidR="008747A4" w:rsidRDefault="008747A4" w:rsidP="008747A4">
            <w:pPr>
              <w:jc w:val="center"/>
            </w:pPr>
          </w:p>
          <w:p w:rsidR="008747A4" w:rsidRPr="008747A4" w:rsidRDefault="008747A4" w:rsidP="008747A4">
            <w:pPr>
              <w:ind w:firstLine="720"/>
            </w:pPr>
            <w:r>
              <w:t>Blyth</w:t>
            </w:r>
          </w:p>
        </w:tc>
        <w:tc>
          <w:tcPr>
            <w:tcW w:w="3283" w:type="dxa"/>
          </w:tcPr>
          <w:p w:rsidR="008747A4" w:rsidRDefault="008747A4" w:rsidP="008747A4">
            <w:pPr>
              <w:jc w:val="center"/>
            </w:pPr>
          </w:p>
          <w:p w:rsidR="008747A4" w:rsidRPr="008747A4" w:rsidRDefault="008747A4" w:rsidP="008747A4">
            <w:pPr>
              <w:jc w:val="center"/>
            </w:pPr>
            <w:r>
              <w:t>28/7/22</w:t>
            </w:r>
          </w:p>
        </w:tc>
      </w:tr>
    </w:tbl>
    <w:p w:rsidR="00974E74" w:rsidRDefault="00974E74" w:rsidP="00974E74"/>
    <w:p w:rsidR="00974E74" w:rsidRPr="008747A4" w:rsidRDefault="00974E74" w:rsidP="00974E74">
      <w:pPr>
        <w:rPr>
          <w:sz w:val="22"/>
          <w:szCs w:val="22"/>
        </w:rPr>
      </w:pPr>
    </w:p>
    <w:p w:rsidR="00974E74" w:rsidRDefault="00974E74" w:rsidP="00974E74"/>
    <w:p w:rsidR="00974E74" w:rsidRDefault="00974E74" w:rsidP="00974E74"/>
    <w:p w:rsidR="00974E74" w:rsidRDefault="00974E74" w:rsidP="00974E74"/>
    <w:tbl>
      <w:tblPr>
        <w:tblStyle w:val="TableGrid"/>
        <w:tblW w:w="0" w:type="auto"/>
        <w:tblLook w:val="04A0"/>
      </w:tblPr>
      <w:tblGrid>
        <w:gridCol w:w="675"/>
        <w:gridCol w:w="7797"/>
        <w:gridCol w:w="1376"/>
      </w:tblGrid>
      <w:tr w:rsidR="00864301" w:rsidTr="00864301">
        <w:tc>
          <w:tcPr>
            <w:tcW w:w="675" w:type="dxa"/>
          </w:tcPr>
          <w:p w:rsidR="00864301" w:rsidRDefault="00864301" w:rsidP="00864301">
            <w:r w:rsidRPr="00864301">
              <w:rPr>
                <w:noProof/>
                <w:sz w:val="16"/>
                <w:lang w:eastAsia="en-GB"/>
              </w:rPr>
              <w:drawing>
                <wp:inline distT="0" distB="0" distL="0" distR="0">
                  <wp:extent cx="280501" cy="140970"/>
                  <wp:effectExtent l="0" t="0" r="0" b="0"/>
                  <wp:docPr id="9"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A picture containing dark&#10;&#10;Description automatically generated"/>
                          <pic:cNvPicPr>
                            <a:picLocks/>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80501" cy="140970"/>
                          </a:xfrm>
                          <a:prstGeom prst="rect">
                            <a:avLst/>
                          </a:prstGeom>
                          <a:noFill/>
                          <a:ln>
                            <a:noFill/>
                          </a:ln>
                        </pic:spPr>
                      </pic:pic>
                    </a:graphicData>
                  </a:graphic>
                </wp:inline>
              </w:drawing>
            </w:r>
            <w:r>
              <w:t xml:space="preserve"> </w:t>
            </w:r>
          </w:p>
        </w:tc>
        <w:tc>
          <w:tcPr>
            <w:tcW w:w="9173" w:type="dxa"/>
            <w:gridSpan w:val="2"/>
          </w:tcPr>
          <w:p w:rsidR="00864301" w:rsidRPr="00864301" w:rsidRDefault="00864301" w:rsidP="00974E74">
            <w:pPr>
              <w:rPr>
                <w:sz w:val="16"/>
                <w:szCs w:val="16"/>
              </w:rPr>
            </w:pPr>
            <w:r w:rsidRPr="00864301">
              <w:rPr>
                <w:sz w:val="16"/>
                <w:szCs w:val="16"/>
              </w:rPr>
              <w:t>Policy</w:t>
            </w:r>
            <w:r>
              <w:rPr>
                <w:sz w:val="16"/>
                <w:szCs w:val="16"/>
              </w:rPr>
              <w:t xml:space="preserve">                                                    </w:t>
            </w:r>
            <w:r>
              <w:rPr>
                <w:sz w:val="16"/>
              </w:rPr>
              <w:t>JG Blyth u3a</w:t>
            </w:r>
          </w:p>
        </w:tc>
      </w:tr>
      <w:tr w:rsidR="00864301" w:rsidTr="00864301">
        <w:tc>
          <w:tcPr>
            <w:tcW w:w="675" w:type="dxa"/>
          </w:tcPr>
          <w:p w:rsidR="00864301" w:rsidRDefault="00864301" w:rsidP="00974E74"/>
        </w:tc>
        <w:tc>
          <w:tcPr>
            <w:tcW w:w="7797" w:type="dxa"/>
            <w:vAlign w:val="center"/>
          </w:tcPr>
          <w:p w:rsidR="00864301" w:rsidRPr="00511F23" w:rsidRDefault="00864301" w:rsidP="00C81169">
            <w:pPr>
              <w:pStyle w:val="Header"/>
              <w:rPr>
                <w:sz w:val="16"/>
                <w:szCs w:val="16"/>
              </w:rPr>
            </w:pPr>
            <w:r>
              <w:rPr>
                <w:sz w:val="16"/>
                <w:szCs w:val="16"/>
              </w:rPr>
              <w:t>Initial document</w:t>
            </w:r>
            <w:r w:rsidRPr="3C8541EB">
              <w:rPr>
                <w:sz w:val="16"/>
                <w:szCs w:val="16"/>
              </w:rPr>
              <w:t xml:space="preserve"> </w:t>
            </w:r>
            <w:r w:rsidR="00A57DC7">
              <w:rPr>
                <w:sz w:val="16"/>
                <w:szCs w:val="16"/>
              </w:rPr>
              <w:t xml:space="preserve"> v2</w:t>
            </w:r>
          </w:p>
        </w:tc>
        <w:tc>
          <w:tcPr>
            <w:tcW w:w="1376" w:type="dxa"/>
            <w:vAlign w:val="center"/>
          </w:tcPr>
          <w:p w:rsidR="00864301" w:rsidRPr="00511F23" w:rsidRDefault="00BF6DB3" w:rsidP="00C81169">
            <w:pPr>
              <w:pStyle w:val="Header"/>
              <w:rPr>
                <w:sz w:val="16"/>
                <w:szCs w:val="16"/>
              </w:rPr>
            </w:pPr>
            <w:r>
              <w:rPr>
                <w:sz w:val="16"/>
                <w:szCs w:val="16"/>
              </w:rPr>
              <w:t>28</w:t>
            </w:r>
            <w:r w:rsidR="00864301">
              <w:rPr>
                <w:sz w:val="16"/>
                <w:szCs w:val="16"/>
              </w:rPr>
              <w:t>/7/22</w:t>
            </w:r>
          </w:p>
        </w:tc>
      </w:tr>
      <w:tr w:rsidR="00864301" w:rsidTr="00864301">
        <w:tc>
          <w:tcPr>
            <w:tcW w:w="675" w:type="dxa"/>
          </w:tcPr>
          <w:p w:rsidR="00864301" w:rsidRDefault="00864301" w:rsidP="00974E74"/>
        </w:tc>
        <w:tc>
          <w:tcPr>
            <w:tcW w:w="7797" w:type="dxa"/>
            <w:vAlign w:val="center"/>
          </w:tcPr>
          <w:p w:rsidR="00604CFC" w:rsidRDefault="00864301" w:rsidP="00C81169">
            <w:pPr>
              <w:pStyle w:val="Header"/>
              <w:rPr>
                <w:sz w:val="16"/>
              </w:rPr>
            </w:pPr>
            <w:r>
              <w:rPr>
                <w:sz w:val="16"/>
              </w:rPr>
              <w:t>Review due</w:t>
            </w:r>
            <w:r w:rsidR="00604CFC">
              <w:rPr>
                <w:sz w:val="16"/>
              </w:rPr>
              <w:t xml:space="preserve">. </w:t>
            </w:r>
          </w:p>
          <w:p w:rsidR="00864301" w:rsidRPr="00511F23" w:rsidRDefault="00604CFC" w:rsidP="00C81169">
            <w:pPr>
              <w:pStyle w:val="Header"/>
              <w:rPr>
                <w:sz w:val="16"/>
              </w:rPr>
            </w:pPr>
            <w:r>
              <w:rPr>
                <w:sz w:val="16"/>
              </w:rPr>
              <w:t>Reviewed 3/8/23 with Blyth and Cramlington committee members present at home of Cramlington Chair</w:t>
            </w:r>
          </w:p>
        </w:tc>
        <w:tc>
          <w:tcPr>
            <w:tcW w:w="1376" w:type="dxa"/>
            <w:vAlign w:val="center"/>
          </w:tcPr>
          <w:p w:rsidR="00604CFC" w:rsidRPr="00511F23" w:rsidRDefault="00781319" w:rsidP="00C81169">
            <w:pPr>
              <w:pStyle w:val="Header"/>
              <w:rPr>
                <w:sz w:val="16"/>
              </w:rPr>
            </w:pPr>
            <w:r>
              <w:rPr>
                <w:sz w:val="16"/>
              </w:rPr>
              <w:t>28/7/23</w:t>
            </w:r>
          </w:p>
        </w:tc>
      </w:tr>
      <w:tr w:rsidR="00604CFC" w:rsidTr="00864301">
        <w:tc>
          <w:tcPr>
            <w:tcW w:w="675" w:type="dxa"/>
          </w:tcPr>
          <w:p w:rsidR="00604CFC" w:rsidRDefault="00604CFC" w:rsidP="00974E74"/>
        </w:tc>
        <w:tc>
          <w:tcPr>
            <w:tcW w:w="7797" w:type="dxa"/>
            <w:vAlign w:val="center"/>
          </w:tcPr>
          <w:p w:rsidR="00604CFC" w:rsidRDefault="00604CFC" w:rsidP="00C81169">
            <w:pPr>
              <w:pStyle w:val="Header"/>
              <w:rPr>
                <w:sz w:val="16"/>
              </w:rPr>
            </w:pPr>
            <w:r>
              <w:rPr>
                <w:sz w:val="16"/>
              </w:rPr>
              <w:t>Review Due</w:t>
            </w:r>
          </w:p>
        </w:tc>
        <w:tc>
          <w:tcPr>
            <w:tcW w:w="1376" w:type="dxa"/>
            <w:vAlign w:val="center"/>
          </w:tcPr>
          <w:p w:rsidR="00604CFC" w:rsidRDefault="00604CFC" w:rsidP="00C81169">
            <w:pPr>
              <w:pStyle w:val="Header"/>
              <w:rPr>
                <w:sz w:val="16"/>
              </w:rPr>
            </w:pPr>
            <w:r>
              <w:rPr>
                <w:sz w:val="16"/>
              </w:rPr>
              <w:t>3/08/24</w:t>
            </w:r>
          </w:p>
        </w:tc>
      </w:tr>
    </w:tbl>
    <w:p w:rsidR="00974E74" w:rsidRDefault="00974E74" w:rsidP="00974E74"/>
    <w:p w:rsidR="00974E74" w:rsidRDefault="00974E74" w:rsidP="00974E74"/>
    <w:p w:rsidR="00974E74" w:rsidRDefault="00974E74" w:rsidP="00974E74"/>
    <w:p w:rsidR="00974E74" w:rsidRDefault="00974E74" w:rsidP="00974E74"/>
    <w:p w:rsidR="00974E74" w:rsidRDefault="00974E74" w:rsidP="00974E74"/>
    <w:p w:rsidR="00974E74" w:rsidRDefault="00974E74" w:rsidP="00974E74"/>
    <w:p w:rsidR="00974E74" w:rsidRPr="002F1C8C" w:rsidRDefault="00974E74" w:rsidP="00974E74"/>
    <w:p w:rsidR="00974E74" w:rsidRPr="00180055" w:rsidRDefault="00974E74" w:rsidP="00974E74"/>
    <w:sectPr w:rsidR="00974E74" w:rsidRPr="00180055" w:rsidSect="000C648D">
      <w:headerReference w:type="default" r:id="rId12"/>
      <w:footerReference w:type="even" r:id="rId13"/>
      <w:footerReference w:type="default" r:id="rId14"/>
      <w:pgSz w:w="11900" w:h="16840"/>
      <w:pgMar w:top="2835" w:right="1134" w:bottom="1134" w:left="1134"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C4D" w:rsidRDefault="006D6C4D" w:rsidP="008432C3">
      <w:pPr>
        <w:spacing w:line="240" w:lineRule="auto"/>
      </w:pPr>
      <w:r>
        <w:separator/>
      </w:r>
    </w:p>
  </w:endnote>
  <w:endnote w:type="continuationSeparator" w:id="0">
    <w:p w:rsidR="006D6C4D" w:rsidRDefault="006D6C4D" w:rsidP="008432C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985154493"/>
      <w:docPartObj>
        <w:docPartGallery w:val="Page Numbers (Bottom of Page)"/>
        <w:docPartUnique/>
      </w:docPartObj>
    </w:sdtPr>
    <w:sdtContent>
      <w:p w:rsidR="000C648D" w:rsidRDefault="003E14C4" w:rsidP="00D949BD">
        <w:pPr>
          <w:pStyle w:val="Footer"/>
          <w:framePr w:wrap="none" w:vAnchor="text" w:hAnchor="margin" w:xAlign="right" w:y="1"/>
          <w:rPr>
            <w:rStyle w:val="PageNumber"/>
          </w:rPr>
        </w:pPr>
        <w:r>
          <w:rPr>
            <w:rStyle w:val="PageNumber"/>
          </w:rPr>
          <w:fldChar w:fldCharType="begin"/>
        </w:r>
        <w:r w:rsidR="000C648D">
          <w:rPr>
            <w:rStyle w:val="PageNumber"/>
          </w:rPr>
          <w:instrText xml:space="preserve"> PAGE </w:instrText>
        </w:r>
        <w:r>
          <w:rPr>
            <w:rStyle w:val="PageNumber"/>
          </w:rPr>
          <w:fldChar w:fldCharType="end"/>
        </w:r>
      </w:p>
    </w:sdtContent>
  </w:sdt>
  <w:p w:rsidR="000C648D" w:rsidRDefault="000C648D" w:rsidP="000C648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color w:val="FFFFFF" w:themeColor="background1"/>
      </w:rPr>
      <w:id w:val="1363485800"/>
      <w:docPartObj>
        <w:docPartGallery w:val="Page Numbers (Bottom of Page)"/>
        <w:docPartUnique/>
      </w:docPartObj>
    </w:sdtPr>
    <w:sdtContent>
      <w:p w:rsidR="000C648D" w:rsidRPr="000C648D" w:rsidRDefault="003E14C4"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000C648D" w:rsidRPr="000C648D">
          <w:rPr>
            <w:rStyle w:val="PageNumber"/>
            <w:color w:val="FFFFFF" w:themeColor="background1"/>
          </w:rPr>
          <w:instrText xml:space="preserve"> PAGE </w:instrText>
        </w:r>
        <w:r w:rsidRPr="000C648D">
          <w:rPr>
            <w:rStyle w:val="PageNumber"/>
            <w:color w:val="FFFFFF" w:themeColor="background1"/>
          </w:rPr>
          <w:fldChar w:fldCharType="separate"/>
        </w:r>
        <w:r w:rsidR="00604CFC">
          <w:rPr>
            <w:rStyle w:val="PageNumber"/>
            <w:noProof/>
            <w:color w:val="FFFFFF" w:themeColor="background1"/>
          </w:rPr>
          <w:t>2</w:t>
        </w:r>
        <w:r w:rsidRPr="000C648D">
          <w:rPr>
            <w:rStyle w:val="PageNumber"/>
            <w:color w:val="FFFFFF" w:themeColor="background1"/>
          </w:rPr>
          <w:fldChar w:fldCharType="end"/>
        </w:r>
      </w:p>
    </w:sdtContent>
  </w:sdt>
  <w:p w:rsidR="000C648D" w:rsidRPr="00A7142C" w:rsidRDefault="003E14C4" w:rsidP="000C648D">
    <w:pPr>
      <w:pStyle w:val="BasicParagraph"/>
      <w:ind w:right="360"/>
      <w:rPr>
        <w:rFonts w:ascii="Arial" w:hAnsi="Arial" w:cs="Arial"/>
        <w:color w:val="1C5B9A"/>
        <w:sz w:val="20"/>
        <w:szCs w:val="20"/>
      </w:rPr>
    </w:pPr>
    <w:r>
      <w:rPr>
        <w:rFonts w:ascii="Arial" w:hAnsi="Arial" w:cs="Arial"/>
        <w:noProof/>
        <w:color w:val="1C5B9A"/>
        <w:sz w:val="20"/>
        <w:szCs w:val="20"/>
      </w:rPr>
      <w:pict>
        <v:shapetype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" filled="f" stroked="f" strokeweight=".5pt">
          <v:textbox style="mso-next-textbox:#Text Box 3">
            <w:txbxContent>
              <w:p w:rsidR="000C648D" w:rsidRDefault="000C648D"/>
            </w:txbxContent>
          </v:textbox>
        </v:shape>
      </w:pict>
    </w:r>
    <w:r>
      <w:rPr>
        <w:rFonts w:ascii="Arial" w:hAnsi="Arial" w:cs="Arial"/>
        <w:noProof/>
        <w:color w:val="1C5B9A"/>
        <w:sz w:val="20"/>
        <w:szCs w:val="20"/>
      </w:rPr>
      <w:pict>
        <v:oval id="Oval 2" o:spid="_x0000_s1027" style="position:absolute;margin-left:450.9pt;margin-top:-6.85pt;width:22.65pt;height:22.65pt;z-index:-25165926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" fillcolor="#307eb5" stroked="f" strokeweight="1pt">
          <v:stroke joinstyle="miter"/>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C4D" w:rsidRDefault="006D6C4D" w:rsidP="008432C3">
      <w:pPr>
        <w:spacing w:line="240" w:lineRule="auto"/>
      </w:pPr>
      <w:r>
        <w:separator/>
      </w:r>
    </w:p>
  </w:footnote>
  <w:footnote w:type="continuationSeparator" w:id="0">
    <w:p w:rsidR="006D6C4D" w:rsidRDefault="006D6C4D" w:rsidP="008432C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2C3" w:rsidRDefault="008432C3">
    <w:pPr>
      <w:pStyle w:val="Header"/>
    </w:pPr>
    <w:r>
      <w:rPr>
        <w:noProof/>
        <w:lang w:eastAsia="en-GB"/>
      </w:rPr>
      <w:drawing>
        <wp:anchor distT="0" distB="0" distL="114300" distR="114300" simplePos="0" relativeHeight="251658240" behindDoc="1" locked="0" layoutInCell="1" allowOverlap="1">
          <wp:simplePos x="0" y="0"/>
          <wp:positionH relativeFrom="column">
            <wp:posOffset>-720090</wp:posOffset>
          </wp:positionH>
          <wp:positionV relativeFrom="paragraph">
            <wp:posOffset>-450215</wp:posOffset>
          </wp:positionV>
          <wp:extent cx="7557074" cy="14439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C235C"/>
    <w:multiLevelType w:val="hybridMultilevel"/>
    <w:tmpl w:val="77B62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13DA0FC8">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4376A6"/>
    <w:multiLevelType w:val="hybridMultilevel"/>
    <w:tmpl w:val="3C3652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EE6ED9"/>
    <w:multiLevelType w:val="hybridMultilevel"/>
    <w:tmpl w:val="84C2A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A70ADA"/>
    <w:multiLevelType w:val="hybridMultilevel"/>
    <w:tmpl w:val="00E46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0A778E"/>
    <w:multiLevelType w:val="hybridMultilevel"/>
    <w:tmpl w:val="B6D46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28289B"/>
    <w:multiLevelType w:val="hybridMultilevel"/>
    <w:tmpl w:val="A52C105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5"/>
  </w:num>
  <w:num w:numId="4">
    <w:abstractNumId w:val="7"/>
  </w:num>
  <w:num w:numId="5">
    <w:abstractNumId w:val="14"/>
  </w:num>
  <w:num w:numId="6">
    <w:abstractNumId w:val="6"/>
  </w:num>
  <w:num w:numId="7">
    <w:abstractNumId w:val="13"/>
  </w:num>
  <w:num w:numId="8">
    <w:abstractNumId w:val="12"/>
  </w:num>
  <w:num w:numId="9">
    <w:abstractNumId w:val="4"/>
  </w:num>
  <w:num w:numId="10">
    <w:abstractNumId w:val="11"/>
  </w:num>
  <w:num w:numId="11">
    <w:abstractNumId w:val="0"/>
  </w:num>
  <w:num w:numId="12">
    <w:abstractNumId w:val="16"/>
  </w:num>
  <w:num w:numId="13">
    <w:abstractNumId w:val="8"/>
  </w:num>
  <w:num w:numId="14">
    <w:abstractNumId w:val="10"/>
  </w:num>
  <w:num w:numId="15">
    <w:abstractNumId w:val="9"/>
  </w:num>
  <w:num w:numId="16">
    <w:abstractNumId w:val="1"/>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24578"/>
    <o:shapelayout v:ext="edit">
      <o:idmap v:ext="edit" data="1"/>
    </o:shapelayout>
  </w:hdrShapeDefaults>
  <w:footnotePr>
    <w:footnote w:id="-1"/>
    <w:footnote w:id="0"/>
  </w:footnotePr>
  <w:endnotePr>
    <w:endnote w:id="-1"/>
    <w:endnote w:id="0"/>
  </w:endnotePr>
  <w:compat/>
  <w:rsids>
    <w:rsidRoot w:val="00FC6C4F"/>
    <w:rsid w:val="000C648D"/>
    <w:rsid w:val="000E3829"/>
    <w:rsid w:val="00180055"/>
    <w:rsid w:val="001B7C86"/>
    <w:rsid w:val="001E55E7"/>
    <w:rsid w:val="00233605"/>
    <w:rsid w:val="00261F11"/>
    <w:rsid w:val="00287164"/>
    <w:rsid w:val="002A6D75"/>
    <w:rsid w:val="002E31E7"/>
    <w:rsid w:val="002E4CF1"/>
    <w:rsid w:val="002F40FA"/>
    <w:rsid w:val="00314AC3"/>
    <w:rsid w:val="003E14C4"/>
    <w:rsid w:val="00411A94"/>
    <w:rsid w:val="00416CD2"/>
    <w:rsid w:val="00466E8D"/>
    <w:rsid w:val="004725B4"/>
    <w:rsid w:val="0048606E"/>
    <w:rsid w:val="00487EC4"/>
    <w:rsid w:val="00533F21"/>
    <w:rsid w:val="005471ED"/>
    <w:rsid w:val="0055455C"/>
    <w:rsid w:val="0057197E"/>
    <w:rsid w:val="00571B18"/>
    <w:rsid w:val="00577F39"/>
    <w:rsid w:val="005B5439"/>
    <w:rsid w:val="005D7EC7"/>
    <w:rsid w:val="005F73FA"/>
    <w:rsid w:val="00604CFC"/>
    <w:rsid w:val="00616956"/>
    <w:rsid w:val="006219A2"/>
    <w:rsid w:val="00622D6D"/>
    <w:rsid w:val="00632333"/>
    <w:rsid w:val="00634C85"/>
    <w:rsid w:val="006457A1"/>
    <w:rsid w:val="0065704F"/>
    <w:rsid w:val="00671E2C"/>
    <w:rsid w:val="00674910"/>
    <w:rsid w:val="006801EA"/>
    <w:rsid w:val="0068061F"/>
    <w:rsid w:val="00695598"/>
    <w:rsid w:val="006D1DA4"/>
    <w:rsid w:val="006D5F55"/>
    <w:rsid w:val="006D6C4D"/>
    <w:rsid w:val="006E158F"/>
    <w:rsid w:val="00747FAE"/>
    <w:rsid w:val="00781319"/>
    <w:rsid w:val="00795C16"/>
    <w:rsid w:val="007B240C"/>
    <w:rsid w:val="007B4715"/>
    <w:rsid w:val="007D533E"/>
    <w:rsid w:val="007E4331"/>
    <w:rsid w:val="00827C10"/>
    <w:rsid w:val="00836BBE"/>
    <w:rsid w:val="008432C3"/>
    <w:rsid w:val="0085791D"/>
    <w:rsid w:val="0086257D"/>
    <w:rsid w:val="00864301"/>
    <w:rsid w:val="00866496"/>
    <w:rsid w:val="008747A4"/>
    <w:rsid w:val="008A6ACD"/>
    <w:rsid w:val="00947D00"/>
    <w:rsid w:val="00966BD3"/>
    <w:rsid w:val="00974E74"/>
    <w:rsid w:val="009A4CAE"/>
    <w:rsid w:val="009E238D"/>
    <w:rsid w:val="00A0061C"/>
    <w:rsid w:val="00A14AA9"/>
    <w:rsid w:val="00A355A8"/>
    <w:rsid w:val="00A5626F"/>
    <w:rsid w:val="00A57DC7"/>
    <w:rsid w:val="00A57E01"/>
    <w:rsid w:val="00A65860"/>
    <w:rsid w:val="00A7142C"/>
    <w:rsid w:val="00A74DED"/>
    <w:rsid w:val="00AA216A"/>
    <w:rsid w:val="00AC3DC8"/>
    <w:rsid w:val="00AF3449"/>
    <w:rsid w:val="00B11DFA"/>
    <w:rsid w:val="00B77C36"/>
    <w:rsid w:val="00B831EA"/>
    <w:rsid w:val="00BF6DB3"/>
    <w:rsid w:val="00C13114"/>
    <w:rsid w:val="00C1414E"/>
    <w:rsid w:val="00C17C85"/>
    <w:rsid w:val="00C45CC6"/>
    <w:rsid w:val="00C5008D"/>
    <w:rsid w:val="00C533E6"/>
    <w:rsid w:val="00C872C7"/>
    <w:rsid w:val="00D37A2F"/>
    <w:rsid w:val="00D8024D"/>
    <w:rsid w:val="00DB3F61"/>
    <w:rsid w:val="00DD6705"/>
    <w:rsid w:val="00E11D12"/>
    <w:rsid w:val="00E84794"/>
    <w:rsid w:val="00EC4D1A"/>
    <w:rsid w:val="00F20DAF"/>
    <w:rsid w:val="00F26D59"/>
    <w:rsid w:val="00FA162D"/>
    <w:rsid w:val="00FC6C4F"/>
    <w:rsid w:val="00FC7E02"/>
    <w:rsid w:val="00FF69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26F"/>
    <w:pPr>
      <w:spacing w:line="280" w:lineRule="exact"/>
    </w:pPr>
    <w:rPr>
      <w:rFonts w:ascii="Arial" w:hAnsi="Arial"/>
      <w:color w:val="000000" w:themeColor="text1"/>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695598"/>
    <w:pPr>
      <w:keepNext/>
      <w:keepLines/>
      <w:spacing w:before="240" w:after="120" w:line="320" w:lineRule="exact"/>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1"/>
    <w:qFormat/>
    <w:rsid w:val="002A6D75"/>
    <w:pPr>
      <w:ind w:left="720"/>
      <w:contextualSpacing/>
    </w:pPr>
  </w:style>
  <w:style w:type="character" w:customStyle="1" w:styleId="Heading2Char">
    <w:name w:val="Heading 2 Char"/>
    <w:basedOn w:val="DefaultParagraphFont"/>
    <w:link w:val="Heading2"/>
    <w:uiPriority w:val="9"/>
    <w:rsid w:val="00695598"/>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customStyle="1" w:styleId="UnresolvedMention">
    <w:name w:val="Unresolved Mention"/>
    <w:basedOn w:val="DefaultParagraphFont"/>
    <w:uiPriority w:val="99"/>
    <w:semiHidden/>
    <w:unhideWhenUsed/>
    <w:rsid w:val="000C648D"/>
    <w:rPr>
      <w:color w:val="605E5C"/>
      <w:shd w:val="clear" w:color="auto" w:fill="E1DFDD"/>
    </w:rPr>
  </w:style>
  <w:style w:type="paragraph" w:styleId="BalloonText">
    <w:name w:val="Balloon Text"/>
    <w:basedOn w:val="Normal"/>
    <w:link w:val="BalloonTextChar"/>
    <w:uiPriority w:val="99"/>
    <w:semiHidden/>
    <w:unhideWhenUsed/>
    <w:rsid w:val="006169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956"/>
    <w:rPr>
      <w:rFonts w:ascii="Tahoma" w:hAnsi="Tahoma" w:cs="Tahoma"/>
      <w:color w:val="000000" w:themeColor="text1"/>
      <w:sz w:val="16"/>
      <w:szCs w:val="16"/>
    </w:rPr>
  </w:style>
  <w:style w:type="table" w:styleId="TableGrid">
    <w:name w:val="Table Grid"/>
    <w:basedOn w:val="TableNormal"/>
    <w:uiPriority w:val="39"/>
    <w:rsid w:val="008643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84794"/>
    <w:pPr>
      <w:spacing w:before="100" w:beforeAutospacing="1" w:after="100" w:afterAutospacing="1" w:line="240" w:lineRule="auto"/>
    </w:pPr>
    <w:rPr>
      <w:rFonts w:ascii="Times New Roman" w:eastAsia="Times New Roman" w:hAnsi="Times New Roman" w:cs="Times New Roman"/>
      <w:color w:val="auto"/>
      <w:lang w:eastAsia="en-GB"/>
    </w:rPr>
  </w:style>
</w:styles>
</file>

<file path=word/webSettings.xml><?xml version="1.0" encoding="utf-8"?>
<w:webSettings xmlns:r="http://schemas.openxmlformats.org/officeDocument/2006/relationships" xmlns:w="http://schemas.openxmlformats.org/wordprocessingml/2006/main">
  <w:divs>
    <w:div w:id="56634912">
      <w:bodyDiv w:val="1"/>
      <w:marLeft w:val="0"/>
      <w:marRight w:val="0"/>
      <w:marTop w:val="0"/>
      <w:marBottom w:val="0"/>
      <w:divBdr>
        <w:top w:val="none" w:sz="0" w:space="0" w:color="auto"/>
        <w:left w:val="none" w:sz="0" w:space="0" w:color="auto"/>
        <w:bottom w:val="none" w:sz="0" w:space="0" w:color="auto"/>
        <w:right w:val="none" w:sz="0" w:space="0" w:color="auto"/>
      </w:divBdr>
    </w:div>
    <w:div w:id="193681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OneDrive\Documents\Custom%20Office%20Templates\KMS%20Sample%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3.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4.xml><?xml version="1.0" encoding="utf-8"?>
<ds:datastoreItem xmlns:ds="http://schemas.openxmlformats.org/officeDocument/2006/customXml" ds:itemID="{5C5E74BF-EE54-4D22-BC82-6681CAB70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KMS Sample Document</Template>
  <TotalTime>51</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Gordon</dc:creator>
  <cp:lastModifiedBy>John Gordon</cp:lastModifiedBy>
  <cp:revision>9</cp:revision>
  <dcterms:created xsi:type="dcterms:W3CDTF">2022-07-28T18:09:00Z</dcterms:created>
  <dcterms:modified xsi:type="dcterms:W3CDTF">2023-08-30T15:29:00Z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